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84111" w14:textId="77777777" w:rsidR="00485716" w:rsidRDefault="00485716">
      <w:pPr>
        <w:tabs>
          <w:tab w:val="center" w:pos="4819"/>
          <w:tab w:val="right" w:pos="9638"/>
        </w:tabs>
        <w:jc w:val="center"/>
      </w:pPr>
    </w:p>
    <w:p w14:paraId="3424EEB6" w14:textId="77777777" w:rsidR="00485716" w:rsidRDefault="00485716">
      <w:pPr>
        <w:tabs>
          <w:tab w:val="center" w:pos="4819"/>
          <w:tab w:val="right" w:pos="9638"/>
        </w:tabs>
      </w:pPr>
    </w:p>
    <w:p w14:paraId="07E6852D" w14:textId="77777777" w:rsidR="00485716" w:rsidRDefault="00273E27">
      <w:pPr>
        <w:suppressAutoHyphens/>
        <w:spacing w:line="276" w:lineRule="atLeast"/>
        <w:ind w:left="9639"/>
        <w:jc w:val="both"/>
        <w:textAlignment w:val="baseline"/>
        <w:rPr>
          <w:szCs w:val="24"/>
          <w:lang w:eastAsia="en-GB"/>
        </w:rPr>
      </w:pPr>
      <w:r>
        <w:rPr>
          <w:szCs w:val="24"/>
          <w:lang w:eastAsia="en-GB"/>
        </w:rPr>
        <w:t xml:space="preserve">2022–2030 metų plėtros programos valdytojos </w:t>
      </w:r>
    </w:p>
    <w:p w14:paraId="318FC6A5" w14:textId="77777777" w:rsidR="00485716" w:rsidRDefault="00273E27">
      <w:pPr>
        <w:suppressAutoHyphens/>
        <w:spacing w:line="276" w:lineRule="atLeast"/>
        <w:ind w:left="5103" w:firstLine="4536"/>
        <w:jc w:val="both"/>
        <w:textAlignment w:val="baseline"/>
        <w:rPr>
          <w:szCs w:val="24"/>
          <w:lang w:eastAsia="en-GB"/>
        </w:rPr>
      </w:pPr>
      <w:r>
        <w:rPr>
          <w:szCs w:val="24"/>
          <w:lang w:eastAsia="en-GB"/>
        </w:rPr>
        <w:t xml:space="preserve">Lietuvos Respublikos susisiekimo ministerijos </w:t>
      </w:r>
    </w:p>
    <w:p w14:paraId="73C483BA" w14:textId="77777777" w:rsidR="00485716" w:rsidRDefault="00273E27">
      <w:pPr>
        <w:suppressAutoHyphens/>
        <w:spacing w:line="276" w:lineRule="atLeast"/>
        <w:ind w:left="9639"/>
        <w:jc w:val="both"/>
        <w:textAlignment w:val="baseline"/>
        <w:rPr>
          <w:szCs w:val="24"/>
          <w:lang w:eastAsia="en-GB"/>
        </w:rPr>
      </w:pPr>
      <w:r>
        <w:rPr>
          <w:szCs w:val="24"/>
          <w:lang w:eastAsia="en-GB"/>
        </w:rPr>
        <w:t xml:space="preserve">susisiekimo plėtros programos pažangos </w:t>
      </w:r>
    </w:p>
    <w:p w14:paraId="54FE63F7" w14:textId="77777777" w:rsidR="00485716" w:rsidRDefault="00273E27">
      <w:pPr>
        <w:suppressAutoHyphens/>
        <w:spacing w:line="276" w:lineRule="atLeast"/>
        <w:ind w:left="5103" w:firstLine="4536"/>
        <w:jc w:val="both"/>
        <w:textAlignment w:val="baseline"/>
        <w:rPr>
          <w:szCs w:val="24"/>
          <w:lang w:eastAsia="en-GB"/>
        </w:rPr>
      </w:pPr>
      <w:r>
        <w:rPr>
          <w:szCs w:val="24"/>
          <w:lang w:eastAsia="en-GB"/>
        </w:rPr>
        <w:t xml:space="preserve">priemonės Nr. 10-001-06-01-01 „Skatinti </w:t>
      </w:r>
    </w:p>
    <w:p w14:paraId="3E4DDC10" w14:textId="77777777" w:rsidR="00485716" w:rsidRDefault="00273E27">
      <w:pPr>
        <w:suppressAutoHyphens/>
        <w:spacing w:line="276" w:lineRule="atLeast"/>
        <w:ind w:left="5103" w:firstLine="4536"/>
        <w:jc w:val="both"/>
        <w:textAlignment w:val="baseline"/>
        <w:rPr>
          <w:szCs w:val="24"/>
          <w:lang w:eastAsia="en-GB"/>
        </w:rPr>
      </w:pPr>
      <w:r>
        <w:rPr>
          <w:szCs w:val="24"/>
          <w:lang w:eastAsia="en-GB"/>
        </w:rPr>
        <w:t xml:space="preserve">alternatyviųjų degalų naudojimą transporto </w:t>
      </w:r>
    </w:p>
    <w:p w14:paraId="4C0029C7" w14:textId="77777777" w:rsidR="00485716" w:rsidRDefault="00273E27">
      <w:pPr>
        <w:ind w:left="9639"/>
        <w:jc w:val="both"/>
        <w:rPr>
          <w:szCs w:val="24"/>
        </w:rPr>
      </w:pPr>
      <w:r>
        <w:rPr>
          <w:szCs w:val="24"/>
          <w:lang w:eastAsia="en-GB"/>
        </w:rPr>
        <w:t>sektoriuje“ aprašo</w:t>
      </w:r>
    </w:p>
    <w:p w14:paraId="3D4F9A93" w14:textId="77777777" w:rsidR="00485716" w:rsidRDefault="00273E27">
      <w:pPr>
        <w:ind w:left="9639"/>
        <w:jc w:val="both"/>
        <w:rPr>
          <w:szCs w:val="24"/>
        </w:rPr>
      </w:pPr>
      <w:r>
        <w:rPr>
          <w:szCs w:val="24"/>
        </w:rPr>
        <w:t>8 priedas</w:t>
      </w:r>
    </w:p>
    <w:p w14:paraId="31E9C6BB" w14:textId="77777777" w:rsidR="00485716" w:rsidRDefault="00485716">
      <w:pPr>
        <w:jc w:val="center"/>
        <w:rPr>
          <w:iCs/>
          <w:szCs w:val="24"/>
        </w:rPr>
      </w:pPr>
    </w:p>
    <w:p w14:paraId="7079B8CA" w14:textId="77777777" w:rsidR="00485716" w:rsidRDefault="00485716">
      <w:pPr>
        <w:jc w:val="center"/>
        <w:rPr>
          <w:b/>
          <w:iCs/>
          <w:szCs w:val="24"/>
        </w:rPr>
      </w:pPr>
    </w:p>
    <w:p w14:paraId="08B31AD1" w14:textId="77777777" w:rsidR="00485716" w:rsidRDefault="00485716">
      <w:pPr>
        <w:jc w:val="center"/>
        <w:rPr>
          <w:i/>
          <w:szCs w:val="24"/>
        </w:rPr>
      </w:pPr>
    </w:p>
    <w:p w14:paraId="5A187A19" w14:textId="77777777" w:rsidR="00485716" w:rsidRDefault="00273E27">
      <w:pPr>
        <w:jc w:val="center"/>
        <w:rPr>
          <w:b/>
          <w:bCs/>
          <w:szCs w:val="24"/>
        </w:rPr>
      </w:pPr>
      <w:r>
        <w:rPr>
          <w:b/>
          <w:bCs/>
          <w:szCs w:val="24"/>
          <w:lang w:eastAsia="lt-LT"/>
        </w:rPr>
        <w:t xml:space="preserve">2022–2030 METŲ PLĖTROS PROGRAMOS </w:t>
      </w:r>
      <w:r>
        <w:rPr>
          <w:b/>
          <w:bCs/>
        </w:rPr>
        <w:t>VALDYTOJOS LIETUVOS RESPUBLIKOS SUSISIEKIMO MINISTERIJOS SUSISIEKIMO PLĖTROS PROGRAMOS</w:t>
      </w:r>
      <w:r>
        <w:t xml:space="preserve"> </w:t>
      </w:r>
      <w:r>
        <w:rPr>
          <w:b/>
          <w:bCs/>
          <w:szCs w:val="24"/>
          <w:lang w:eastAsia="lt-LT"/>
        </w:rPr>
        <w:t>PAŽANGOS PRIEMONĖS NR. 10-001-06-01-01 „SKATINTI ALTERNATYVIŲJŲ DEGALŲ NAUDOJIMĄ TRANSPORTO SEKTORIUJE“ VEIKLOS „</w:t>
      </w:r>
      <w:r>
        <w:rPr>
          <w:b/>
          <w:bCs/>
          <w:szCs w:val="24"/>
        </w:rPr>
        <w:t>VIEŠAI PRIEINAMOS ELEKTROMOBILIŲ ĮKROVIMO INFRASTRUKTŪROS ĮRENGIMAS IR PLĖTRA“ POVEIKLĖS „</w:t>
      </w:r>
      <w:r>
        <w:rPr>
          <w:b/>
        </w:rPr>
        <w:t>VIEŠAI PRIEINAMOS ELEKTROMOBILIŲ ĮKROVIMO INFRASTRUKTŪROS ĮRENGIMAS IR PLĖTRA DARNAUS JUDUMO MIESTUOSE PLANŲ NERENGUSIOSE SAVIVALDYBĖSE</w:t>
      </w:r>
      <w:r>
        <w:rPr>
          <w:b/>
          <w:bCs/>
          <w:szCs w:val="24"/>
        </w:rPr>
        <w:t xml:space="preserve"> (VIETOSE, KURIOS NUSTATYTOS ŠIŲ SAVIVALDYBIŲ </w:t>
      </w:r>
      <w:r>
        <w:rPr>
          <w:b/>
          <w:bCs/>
          <w:caps/>
          <w:szCs w:val="24"/>
        </w:rPr>
        <w:t>iki 2030 m. numatomų įrengti viešųjų ir pusiau viešųjų elektromobilių įkrovimo prieigų</w:t>
      </w:r>
      <w:r>
        <w:rPr>
          <w:b/>
          <w:bCs/>
          <w:szCs w:val="24"/>
        </w:rPr>
        <w:t xml:space="preserve"> PLANUOSE</w:t>
      </w:r>
      <w:r>
        <w:rPr>
          <w:b/>
        </w:rPr>
        <w:t>)“</w:t>
      </w:r>
    </w:p>
    <w:p w14:paraId="7810F76E" w14:textId="77777777" w:rsidR="00485716" w:rsidRDefault="00273E27">
      <w:pPr>
        <w:jc w:val="center"/>
        <w:rPr>
          <w:b/>
          <w:bCs/>
          <w:szCs w:val="24"/>
        </w:rPr>
      </w:pPr>
      <w:r>
        <w:rPr>
          <w:b/>
          <w:bCs/>
          <w:szCs w:val="24"/>
        </w:rPr>
        <w:t>PROJEKTŲ FINANSAVIMO SĄLYGŲ APRAŠAS</w:t>
      </w:r>
    </w:p>
    <w:p w14:paraId="3DF13BCF" w14:textId="77777777" w:rsidR="00485716" w:rsidRDefault="00485716">
      <w:pPr>
        <w:jc w:val="center"/>
        <w:rPr>
          <w:i/>
          <w:szCs w:val="24"/>
        </w:rPr>
      </w:pPr>
    </w:p>
    <w:p w14:paraId="6A904FFC" w14:textId="77777777" w:rsidR="00485716" w:rsidRDefault="00485716">
      <w:pPr>
        <w:rPr>
          <w:sz w:val="14"/>
          <w:szCs w:val="1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92"/>
        <w:gridCol w:w="1418"/>
        <w:gridCol w:w="992"/>
        <w:gridCol w:w="1276"/>
        <w:gridCol w:w="992"/>
        <w:gridCol w:w="1276"/>
        <w:gridCol w:w="992"/>
        <w:gridCol w:w="1134"/>
        <w:gridCol w:w="992"/>
        <w:gridCol w:w="992"/>
        <w:gridCol w:w="851"/>
        <w:gridCol w:w="1134"/>
      </w:tblGrid>
      <w:tr w:rsidR="00485716" w14:paraId="295BF5E2" w14:textId="77777777">
        <w:tc>
          <w:tcPr>
            <w:tcW w:w="15021" w:type="dxa"/>
            <w:gridSpan w:val="13"/>
            <w:vAlign w:val="center"/>
          </w:tcPr>
          <w:p w14:paraId="3D5963F1" w14:textId="77777777" w:rsidR="00485716" w:rsidRDefault="00273E27">
            <w:pPr>
              <w:jc w:val="center"/>
              <w:rPr>
                <w:b/>
                <w:sz w:val="22"/>
                <w:szCs w:val="22"/>
              </w:rPr>
            </w:pPr>
            <w:r>
              <w:rPr>
                <w:b/>
                <w:sz w:val="22"/>
                <w:szCs w:val="22"/>
              </w:rPr>
              <w:t>VEIKLOS AR POVEIKLĖS, KURIOMS NUSTATOMOS PROJEKTŲ FINANSAVIMO SĄLYGOS</w:t>
            </w:r>
          </w:p>
        </w:tc>
      </w:tr>
      <w:tr w:rsidR="00485716" w14:paraId="02D92F07" w14:textId="77777777">
        <w:tc>
          <w:tcPr>
            <w:tcW w:w="1980" w:type="dxa"/>
            <w:vAlign w:val="center"/>
          </w:tcPr>
          <w:p w14:paraId="47F4B711" w14:textId="77777777" w:rsidR="00485716" w:rsidRDefault="00273E27">
            <w:pPr>
              <w:jc w:val="center"/>
              <w:rPr>
                <w:b/>
                <w:sz w:val="20"/>
                <w:szCs w:val="22"/>
              </w:rPr>
            </w:pPr>
            <w:r>
              <w:rPr>
                <w:b/>
                <w:sz w:val="20"/>
                <w:szCs w:val="22"/>
              </w:rPr>
              <w:t xml:space="preserve">Veiklos ar </w:t>
            </w:r>
            <w:proofErr w:type="spellStart"/>
            <w:r>
              <w:rPr>
                <w:b/>
                <w:sz w:val="20"/>
                <w:szCs w:val="22"/>
              </w:rPr>
              <w:t>poveiklės</w:t>
            </w:r>
            <w:proofErr w:type="spellEnd"/>
            <w:r>
              <w:rPr>
                <w:b/>
                <w:sz w:val="20"/>
                <w:szCs w:val="22"/>
              </w:rPr>
              <w:t xml:space="preserve"> pavadinimas</w:t>
            </w:r>
          </w:p>
        </w:tc>
        <w:tc>
          <w:tcPr>
            <w:tcW w:w="992" w:type="dxa"/>
            <w:vAlign w:val="center"/>
          </w:tcPr>
          <w:p w14:paraId="121FEA75" w14:textId="77777777" w:rsidR="00485716" w:rsidRDefault="00273E27">
            <w:pPr>
              <w:jc w:val="center"/>
              <w:rPr>
                <w:b/>
                <w:sz w:val="20"/>
                <w:szCs w:val="22"/>
              </w:rPr>
            </w:pPr>
            <w:proofErr w:type="spellStart"/>
            <w:r>
              <w:rPr>
                <w:b/>
                <w:sz w:val="20"/>
                <w:szCs w:val="22"/>
              </w:rPr>
              <w:t>Finansa</w:t>
            </w:r>
            <w:proofErr w:type="spellEnd"/>
            <w:r>
              <w:rPr>
                <w:b/>
                <w:sz w:val="20"/>
                <w:szCs w:val="22"/>
              </w:rPr>
              <w:t>-vimo šaltinis</w:t>
            </w:r>
          </w:p>
        </w:tc>
        <w:tc>
          <w:tcPr>
            <w:tcW w:w="1418" w:type="dxa"/>
            <w:vAlign w:val="center"/>
          </w:tcPr>
          <w:p w14:paraId="6D7257D4" w14:textId="77777777" w:rsidR="00485716" w:rsidRDefault="00273E27">
            <w:pPr>
              <w:jc w:val="center"/>
              <w:rPr>
                <w:b/>
                <w:sz w:val="20"/>
                <w:szCs w:val="22"/>
              </w:rPr>
            </w:pPr>
            <w:r>
              <w:rPr>
                <w:b/>
                <w:bCs/>
                <w:sz w:val="20"/>
                <w:szCs w:val="22"/>
              </w:rPr>
              <w:t>Prioritetas ar komponentas</w:t>
            </w:r>
          </w:p>
        </w:tc>
        <w:tc>
          <w:tcPr>
            <w:tcW w:w="992" w:type="dxa"/>
            <w:vAlign w:val="center"/>
          </w:tcPr>
          <w:p w14:paraId="56A04B3D" w14:textId="77777777" w:rsidR="00485716" w:rsidRDefault="00273E27">
            <w:pPr>
              <w:jc w:val="center"/>
              <w:rPr>
                <w:b/>
                <w:bCs/>
                <w:sz w:val="20"/>
                <w:szCs w:val="22"/>
              </w:rPr>
            </w:pPr>
            <w:proofErr w:type="spellStart"/>
            <w:r>
              <w:rPr>
                <w:b/>
                <w:bCs/>
                <w:sz w:val="20"/>
                <w:szCs w:val="22"/>
              </w:rPr>
              <w:t>Uždavi-nys</w:t>
            </w:r>
            <w:proofErr w:type="spellEnd"/>
            <w:r>
              <w:rPr>
                <w:b/>
                <w:bCs/>
                <w:sz w:val="20"/>
                <w:szCs w:val="22"/>
              </w:rPr>
              <w:t xml:space="preserve"> ar prie-</w:t>
            </w:r>
          </w:p>
          <w:p w14:paraId="5E733A4D" w14:textId="77777777" w:rsidR="00485716" w:rsidRDefault="00273E27">
            <w:pPr>
              <w:jc w:val="center"/>
              <w:rPr>
                <w:b/>
                <w:sz w:val="20"/>
                <w:szCs w:val="22"/>
              </w:rPr>
            </w:pPr>
            <w:proofErr w:type="spellStart"/>
            <w:r>
              <w:rPr>
                <w:b/>
                <w:bCs/>
                <w:sz w:val="20"/>
                <w:szCs w:val="22"/>
              </w:rPr>
              <w:t>monė</w:t>
            </w:r>
            <w:proofErr w:type="spellEnd"/>
          </w:p>
        </w:tc>
        <w:tc>
          <w:tcPr>
            <w:tcW w:w="1276" w:type="dxa"/>
            <w:vAlign w:val="center"/>
          </w:tcPr>
          <w:p w14:paraId="05907F55" w14:textId="77777777" w:rsidR="00485716" w:rsidRDefault="00273E27">
            <w:pPr>
              <w:jc w:val="center"/>
              <w:rPr>
                <w:b/>
                <w:sz w:val="20"/>
                <w:szCs w:val="22"/>
              </w:rPr>
            </w:pPr>
            <w:r>
              <w:rPr>
                <w:b/>
                <w:bCs/>
                <w:sz w:val="20"/>
                <w:szCs w:val="22"/>
              </w:rPr>
              <w:t xml:space="preserve">Veikla ar </w:t>
            </w:r>
            <w:proofErr w:type="spellStart"/>
            <w:r>
              <w:rPr>
                <w:b/>
                <w:bCs/>
                <w:sz w:val="20"/>
                <w:szCs w:val="22"/>
              </w:rPr>
              <w:t>poveiklė</w:t>
            </w:r>
            <w:proofErr w:type="spellEnd"/>
          </w:p>
        </w:tc>
        <w:tc>
          <w:tcPr>
            <w:tcW w:w="992" w:type="dxa"/>
            <w:vAlign w:val="center"/>
          </w:tcPr>
          <w:p w14:paraId="13718DD0" w14:textId="77777777" w:rsidR="00485716" w:rsidRDefault="00273E27">
            <w:pPr>
              <w:jc w:val="center"/>
              <w:rPr>
                <w:b/>
                <w:sz w:val="20"/>
                <w:szCs w:val="22"/>
              </w:rPr>
            </w:pPr>
            <w:proofErr w:type="spellStart"/>
            <w:r>
              <w:rPr>
                <w:b/>
                <w:sz w:val="20"/>
                <w:szCs w:val="22"/>
              </w:rPr>
              <w:t>Inter-vencinės</w:t>
            </w:r>
            <w:proofErr w:type="spellEnd"/>
            <w:r>
              <w:rPr>
                <w:b/>
                <w:sz w:val="20"/>
                <w:szCs w:val="22"/>
              </w:rPr>
              <w:t xml:space="preserve"> prie-</w:t>
            </w:r>
          </w:p>
          <w:p w14:paraId="065A254E" w14:textId="77777777" w:rsidR="00485716" w:rsidRDefault="00273E27">
            <w:pPr>
              <w:jc w:val="center"/>
              <w:rPr>
                <w:b/>
                <w:sz w:val="20"/>
                <w:szCs w:val="22"/>
              </w:rPr>
            </w:pPr>
            <w:proofErr w:type="spellStart"/>
            <w:r>
              <w:rPr>
                <w:b/>
                <w:sz w:val="20"/>
                <w:szCs w:val="22"/>
              </w:rPr>
              <w:t>monės</w:t>
            </w:r>
            <w:proofErr w:type="spellEnd"/>
            <w:r>
              <w:rPr>
                <w:b/>
                <w:sz w:val="20"/>
                <w:szCs w:val="22"/>
              </w:rPr>
              <w:t xml:space="preserve"> kodas</w:t>
            </w:r>
          </w:p>
        </w:tc>
        <w:tc>
          <w:tcPr>
            <w:tcW w:w="1276" w:type="dxa"/>
            <w:vAlign w:val="center"/>
          </w:tcPr>
          <w:p w14:paraId="4B55D26A" w14:textId="77777777" w:rsidR="00485716" w:rsidRDefault="00273E27">
            <w:pPr>
              <w:jc w:val="center"/>
              <w:rPr>
                <w:b/>
                <w:bCs/>
                <w:sz w:val="20"/>
                <w:szCs w:val="22"/>
              </w:rPr>
            </w:pPr>
            <w:r>
              <w:rPr>
                <w:b/>
                <w:sz w:val="20"/>
              </w:rPr>
              <w:t xml:space="preserve">Regionas, kuriam priskiriama veikla ar </w:t>
            </w:r>
            <w:proofErr w:type="spellStart"/>
            <w:r>
              <w:rPr>
                <w:b/>
                <w:sz w:val="20"/>
              </w:rPr>
              <w:t>poveiklė</w:t>
            </w:r>
            <w:proofErr w:type="spellEnd"/>
          </w:p>
        </w:tc>
        <w:tc>
          <w:tcPr>
            <w:tcW w:w="992" w:type="dxa"/>
            <w:vAlign w:val="center"/>
          </w:tcPr>
          <w:p w14:paraId="36760560" w14:textId="77777777" w:rsidR="00485716" w:rsidRDefault="00273E27">
            <w:pPr>
              <w:jc w:val="center"/>
              <w:rPr>
                <w:b/>
                <w:sz w:val="20"/>
                <w:szCs w:val="22"/>
              </w:rPr>
            </w:pPr>
            <w:r>
              <w:rPr>
                <w:b/>
                <w:bCs/>
                <w:sz w:val="20"/>
                <w:szCs w:val="22"/>
              </w:rPr>
              <w:t>Paramos formos kodas</w:t>
            </w:r>
          </w:p>
        </w:tc>
        <w:tc>
          <w:tcPr>
            <w:tcW w:w="1134" w:type="dxa"/>
            <w:vAlign w:val="center"/>
          </w:tcPr>
          <w:p w14:paraId="68B8F7AF" w14:textId="77777777" w:rsidR="00485716" w:rsidRDefault="00273E27">
            <w:pPr>
              <w:jc w:val="center"/>
              <w:rPr>
                <w:b/>
                <w:sz w:val="20"/>
                <w:szCs w:val="22"/>
              </w:rPr>
            </w:pPr>
            <w:proofErr w:type="spellStart"/>
            <w:r>
              <w:rPr>
                <w:b/>
                <w:bCs/>
                <w:sz w:val="20"/>
                <w:szCs w:val="22"/>
              </w:rPr>
              <w:t>Pagrin-dinės</w:t>
            </w:r>
            <w:proofErr w:type="spellEnd"/>
            <w:r>
              <w:rPr>
                <w:b/>
                <w:bCs/>
                <w:sz w:val="20"/>
                <w:szCs w:val="22"/>
              </w:rPr>
              <w:t xml:space="preserve"> teritorinės srities kodas (-ai)</w:t>
            </w:r>
          </w:p>
        </w:tc>
        <w:tc>
          <w:tcPr>
            <w:tcW w:w="992" w:type="dxa"/>
            <w:vAlign w:val="center"/>
          </w:tcPr>
          <w:p w14:paraId="1B02DD2D" w14:textId="77777777" w:rsidR="00485716" w:rsidRDefault="00273E27">
            <w:pPr>
              <w:jc w:val="center"/>
              <w:rPr>
                <w:b/>
                <w:sz w:val="20"/>
                <w:szCs w:val="22"/>
              </w:rPr>
            </w:pPr>
            <w:proofErr w:type="spellStart"/>
            <w:r>
              <w:rPr>
                <w:b/>
                <w:bCs/>
                <w:sz w:val="20"/>
                <w:szCs w:val="22"/>
              </w:rPr>
              <w:t>Ekono</w:t>
            </w:r>
            <w:proofErr w:type="spellEnd"/>
            <w:r>
              <w:rPr>
                <w:b/>
                <w:bCs/>
                <w:sz w:val="20"/>
                <w:szCs w:val="22"/>
              </w:rPr>
              <w:t>-minės veiklos kodas (-ai)</w:t>
            </w:r>
          </w:p>
        </w:tc>
        <w:tc>
          <w:tcPr>
            <w:tcW w:w="992" w:type="dxa"/>
            <w:vAlign w:val="center"/>
          </w:tcPr>
          <w:p w14:paraId="57EBD0B4" w14:textId="77777777" w:rsidR="00485716" w:rsidRDefault="00273E27">
            <w:pPr>
              <w:jc w:val="center"/>
              <w:rPr>
                <w:b/>
                <w:bCs/>
                <w:sz w:val="20"/>
                <w:szCs w:val="22"/>
              </w:rPr>
            </w:pPr>
            <w:r>
              <w:rPr>
                <w:b/>
                <w:bCs/>
                <w:sz w:val="20"/>
                <w:szCs w:val="22"/>
              </w:rPr>
              <w:t>Europos sociali-</w:t>
            </w:r>
            <w:proofErr w:type="spellStart"/>
            <w:r>
              <w:rPr>
                <w:b/>
                <w:bCs/>
                <w:sz w:val="20"/>
                <w:szCs w:val="22"/>
              </w:rPr>
              <w:t>nio</w:t>
            </w:r>
            <w:proofErr w:type="spellEnd"/>
            <w:r>
              <w:rPr>
                <w:b/>
                <w:bCs/>
                <w:sz w:val="20"/>
                <w:szCs w:val="22"/>
              </w:rPr>
              <w:t xml:space="preserve"> fondo + (toliau – ESF+) antrinių temų kodai</w:t>
            </w:r>
          </w:p>
        </w:tc>
        <w:tc>
          <w:tcPr>
            <w:tcW w:w="851" w:type="dxa"/>
            <w:vAlign w:val="center"/>
          </w:tcPr>
          <w:p w14:paraId="0CB25C91" w14:textId="77777777" w:rsidR="00485716" w:rsidRDefault="00273E27">
            <w:pPr>
              <w:jc w:val="center"/>
              <w:rPr>
                <w:b/>
                <w:bCs/>
                <w:sz w:val="20"/>
                <w:szCs w:val="22"/>
              </w:rPr>
            </w:pPr>
            <w:r>
              <w:rPr>
                <w:b/>
                <w:bCs/>
                <w:sz w:val="20"/>
                <w:szCs w:val="22"/>
              </w:rPr>
              <w:t>Lyčių lygybės mat-</w:t>
            </w:r>
            <w:proofErr w:type="spellStart"/>
            <w:r>
              <w:rPr>
                <w:b/>
                <w:bCs/>
                <w:sz w:val="20"/>
                <w:szCs w:val="22"/>
              </w:rPr>
              <w:t>mens</w:t>
            </w:r>
            <w:proofErr w:type="spellEnd"/>
            <w:r>
              <w:rPr>
                <w:b/>
                <w:bCs/>
                <w:sz w:val="20"/>
                <w:szCs w:val="22"/>
              </w:rPr>
              <w:t xml:space="preserve"> kodas</w:t>
            </w:r>
          </w:p>
        </w:tc>
        <w:tc>
          <w:tcPr>
            <w:tcW w:w="1134" w:type="dxa"/>
            <w:vAlign w:val="center"/>
          </w:tcPr>
          <w:p w14:paraId="3195CB9E" w14:textId="77777777" w:rsidR="00485716" w:rsidRDefault="00273E27">
            <w:pPr>
              <w:jc w:val="center"/>
              <w:rPr>
                <w:b/>
                <w:sz w:val="20"/>
              </w:rPr>
            </w:pPr>
            <w:proofErr w:type="spellStart"/>
            <w:r>
              <w:rPr>
                <w:b/>
                <w:sz w:val="20"/>
              </w:rPr>
              <w:t>Nepa</w:t>
            </w:r>
            <w:proofErr w:type="spellEnd"/>
            <w:r>
              <w:rPr>
                <w:b/>
                <w:sz w:val="20"/>
              </w:rPr>
              <w:t xml:space="preserve">-naudotos </w:t>
            </w:r>
            <w:proofErr w:type="spellStart"/>
            <w:r>
              <w:rPr>
                <w:b/>
                <w:sz w:val="20"/>
              </w:rPr>
              <w:t>Ekono-mikos</w:t>
            </w:r>
            <w:proofErr w:type="spellEnd"/>
            <w:r>
              <w:rPr>
                <w:b/>
                <w:sz w:val="20"/>
              </w:rPr>
              <w:t xml:space="preserve"> gaivinimo ir </w:t>
            </w:r>
            <w:proofErr w:type="spellStart"/>
            <w:r>
              <w:rPr>
                <w:b/>
                <w:sz w:val="20"/>
              </w:rPr>
              <w:t>atspa-rumo</w:t>
            </w:r>
            <w:proofErr w:type="spellEnd"/>
            <w:r>
              <w:rPr>
                <w:b/>
                <w:sz w:val="20"/>
              </w:rPr>
              <w:t xml:space="preserve"> didinimo prie-</w:t>
            </w:r>
          </w:p>
          <w:p w14:paraId="5AB134ED" w14:textId="77777777" w:rsidR="00485716" w:rsidRDefault="00273E27">
            <w:pPr>
              <w:jc w:val="center"/>
              <w:rPr>
                <w:b/>
                <w:sz w:val="20"/>
              </w:rPr>
            </w:pPr>
            <w:proofErr w:type="spellStart"/>
            <w:r>
              <w:rPr>
                <w:b/>
                <w:sz w:val="20"/>
              </w:rPr>
              <w:t>monės</w:t>
            </w:r>
            <w:proofErr w:type="spellEnd"/>
            <w:r>
              <w:rPr>
                <w:b/>
                <w:sz w:val="20"/>
              </w:rPr>
              <w:t xml:space="preserve"> lėšos</w:t>
            </w:r>
          </w:p>
          <w:p w14:paraId="5B4861B4" w14:textId="77777777" w:rsidR="00485716" w:rsidRDefault="00273E27">
            <w:pPr>
              <w:jc w:val="center"/>
              <w:rPr>
                <w:b/>
                <w:bCs/>
                <w:sz w:val="20"/>
                <w:szCs w:val="22"/>
              </w:rPr>
            </w:pPr>
            <w:r>
              <w:rPr>
                <w:b/>
                <w:sz w:val="20"/>
              </w:rPr>
              <w:t>(Taip / Ne)</w:t>
            </w:r>
          </w:p>
        </w:tc>
      </w:tr>
      <w:tr w:rsidR="00485716" w14:paraId="6F729E28" w14:textId="77777777">
        <w:trPr>
          <w:trHeight w:val="278"/>
        </w:trPr>
        <w:tc>
          <w:tcPr>
            <w:tcW w:w="1980" w:type="dxa"/>
            <w:tcMar>
              <w:left w:w="28" w:type="dxa"/>
              <w:right w:w="28" w:type="dxa"/>
            </w:tcMar>
          </w:tcPr>
          <w:p w14:paraId="60EDE3F3" w14:textId="77777777" w:rsidR="00485716" w:rsidRDefault="00273E27">
            <w:pPr>
              <w:rPr>
                <w:i/>
                <w:sz w:val="20"/>
              </w:rPr>
            </w:pPr>
            <w:r>
              <w:rPr>
                <w:sz w:val="20"/>
              </w:rPr>
              <w:t xml:space="preserve">5.3. Viešai prieinamos elektromobilių įkrovimo infrastruktūros </w:t>
            </w:r>
            <w:r>
              <w:rPr>
                <w:sz w:val="20"/>
              </w:rPr>
              <w:lastRenderedPageBreak/>
              <w:t xml:space="preserve">įrengimas ir plėtra darnaus judumo miestuose planų nerengusiose savivaldybėse (vietose, kurios nustatytos šių savivaldybių iki 2030 m. numatomų įrengti viešųjų ir pusiau viešųjų elektromobilių įkrovimo prieigų planuose) </w:t>
            </w:r>
          </w:p>
          <w:p w14:paraId="214EDB44" w14:textId="77777777" w:rsidR="00485716" w:rsidRDefault="00485716">
            <w:pPr>
              <w:jc w:val="center"/>
              <w:rPr>
                <w:i/>
                <w:sz w:val="20"/>
              </w:rPr>
            </w:pPr>
          </w:p>
        </w:tc>
        <w:tc>
          <w:tcPr>
            <w:tcW w:w="992" w:type="dxa"/>
            <w:tcMar>
              <w:left w:w="28" w:type="dxa"/>
              <w:right w:w="28" w:type="dxa"/>
            </w:tcMar>
          </w:tcPr>
          <w:p w14:paraId="693E7F17" w14:textId="77777777" w:rsidR="00485716" w:rsidRDefault="00273E27">
            <w:pPr>
              <w:jc w:val="center"/>
              <w:rPr>
                <w:sz w:val="20"/>
              </w:rPr>
            </w:pPr>
            <w:proofErr w:type="spellStart"/>
            <w:r>
              <w:rPr>
                <w:sz w:val="20"/>
              </w:rPr>
              <w:lastRenderedPageBreak/>
              <w:t>Ekonomi-kos</w:t>
            </w:r>
            <w:proofErr w:type="spellEnd"/>
            <w:r>
              <w:rPr>
                <w:sz w:val="20"/>
              </w:rPr>
              <w:t xml:space="preserve"> gaivinimo ir </w:t>
            </w:r>
            <w:r>
              <w:rPr>
                <w:sz w:val="20"/>
              </w:rPr>
              <w:lastRenderedPageBreak/>
              <w:t>atsparumo didinimo planas „Naujos kartos Lietuva“ (toliau – EGADP)</w:t>
            </w:r>
          </w:p>
        </w:tc>
        <w:tc>
          <w:tcPr>
            <w:tcW w:w="1418" w:type="dxa"/>
            <w:tcMar>
              <w:left w:w="28" w:type="dxa"/>
              <w:right w:w="28" w:type="dxa"/>
            </w:tcMar>
          </w:tcPr>
          <w:p w14:paraId="1D9E88D3" w14:textId="77777777" w:rsidR="00485716" w:rsidRDefault="00273E27">
            <w:pPr>
              <w:jc w:val="center"/>
              <w:rPr>
                <w:sz w:val="20"/>
              </w:rPr>
            </w:pPr>
            <w:r>
              <w:rPr>
                <w:sz w:val="20"/>
              </w:rPr>
              <w:lastRenderedPageBreak/>
              <w:t>B.2</w:t>
            </w:r>
          </w:p>
        </w:tc>
        <w:tc>
          <w:tcPr>
            <w:tcW w:w="992" w:type="dxa"/>
            <w:tcMar>
              <w:left w:w="28" w:type="dxa"/>
              <w:right w:w="28" w:type="dxa"/>
            </w:tcMar>
          </w:tcPr>
          <w:p w14:paraId="65F3B69B" w14:textId="77777777" w:rsidR="00485716" w:rsidRDefault="00273E27">
            <w:pPr>
              <w:jc w:val="center"/>
              <w:rPr>
                <w:iCs/>
                <w:sz w:val="20"/>
              </w:rPr>
            </w:pPr>
            <w:r>
              <w:rPr>
                <w:iCs/>
                <w:sz w:val="20"/>
              </w:rPr>
              <w:t>B.1.2.</w:t>
            </w:r>
          </w:p>
        </w:tc>
        <w:tc>
          <w:tcPr>
            <w:tcW w:w="1276" w:type="dxa"/>
            <w:tcMar>
              <w:left w:w="28" w:type="dxa"/>
              <w:right w:w="28" w:type="dxa"/>
            </w:tcMar>
          </w:tcPr>
          <w:p w14:paraId="51B13BBD" w14:textId="77777777" w:rsidR="00485716" w:rsidRDefault="00273E27">
            <w:pPr>
              <w:jc w:val="center"/>
              <w:rPr>
                <w:i/>
                <w:iCs/>
                <w:sz w:val="20"/>
              </w:rPr>
            </w:pPr>
            <w:r>
              <w:rPr>
                <w:iCs/>
                <w:sz w:val="20"/>
              </w:rPr>
              <w:t>B.1.2.3.</w:t>
            </w:r>
          </w:p>
        </w:tc>
        <w:tc>
          <w:tcPr>
            <w:tcW w:w="992" w:type="dxa"/>
            <w:tcMar>
              <w:left w:w="28" w:type="dxa"/>
              <w:right w:w="28" w:type="dxa"/>
            </w:tcMar>
          </w:tcPr>
          <w:p w14:paraId="174D9CED" w14:textId="77777777" w:rsidR="00485716" w:rsidRDefault="00273E27">
            <w:pPr>
              <w:jc w:val="center"/>
              <w:rPr>
                <w:sz w:val="20"/>
              </w:rPr>
            </w:pPr>
            <w:r>
              <w:rPr>
                <w:sz w:val="20"/>
              </w:rPr>
              <w:t xml:space="preserve">077 </w:t>
            </w:r>
          </w:p>
        </w:tc>
        <w:tc>
          <w:tcPr>
            <w:tcW w:w="1276" w:type="dxa"/>
            <w:tcMar>
              <w:left w:w="28" w:type="dxa"/>
              <w:right w:w="28" w:type="dxa"/>
            </w:tcMar>
          </w:tcPr>
          <w:p w14:paraId="1789ECB8" w14:textId="77777777" w:rsidR="00485716" w:rsidRDefault="00273E27">
            <w:pPr>
              <w:jc w:val="center"/>
              <w:rPr>
                <w:i/>
                <w:sz w:val="20"/>
              </w:rPr>
            </w:pPr>
            <w:r>
              <w:rPr>
                <w:iCs/>
                <w:sz w:val="20"/>
              </w:rPr>
              <w:t>–</w:t>
            </w:r>
          </w:p>
        </w:tc>
        <w:tc>
          <w:tcPr>
            <w:tcW w:w="992" w:type="dxa"/>
            <w:tcMar>
              <w:left w:w="28" w:type="dxa"/>
              <w:right w:w="28" w:type="dxa"/>
            </w:tcMar>
          </w:tcPr>
          <w:p w14:paraId="214B004C" w14:textId="77777777" w:rsidR="00485716" w:rsidRDefault="00273E27">
            <w:pPr>
              <w:jc w:val="center"/>
              <w:rPr>
                <w:i/>
                <w:sz w:val="20"/>
              </w:rPr>
            </w:pPr>
            <w:r>
              <w:rPr>
                <w:iCs/>
                <w:sz w:val="20"/>
              </w:rPr>
              <w:t>–</w:t>
            </w:r>
          </w:p>
        </w:tc>
        <w:tc>
          <w:tcPr>
            <w:tcW w:w="1134" w:type="dxa"/>
            <w:tcMar>
              <w:left w:w="28" w:type="dxa"/>
              <w:right w:w="28" w:type="dxa"/>
            </w:tcMar>
          </w:tcPr>
          <w:p w14:paraId="555738F4" w14:textId="77777777" w:rsidR="00485716" w:rsidRDefault="00273E27">
            <w:pPr>
              <w:jc w:val="center"/>
              <w:rPr>
                <w:i/>
                <w:iCs/>
                <w:sz w:val="20"/>
              </w:rPr>
            </w:pPr>
            <w:r>
              <w:rPr>
                <w:iCs/>
                <w:sz w:val="20"/>
              </w:rPr>
              <w:t>–</w:t>
            </w:r>
          </w:p>
        </w:tc>
        <w:tc>
          <w:tcPr>
            <w:tcW w:w="992" w:type="dxa"/>
            <w:tcMar>
              <w:left w:w="28" w:type="dxa"/>
              <w:right w:w="28" w:type="dxa"/>
            </w:tcMar>
          </w:tcPr>
          <w:p w14:paraId="0E30BE36" w14:textId="77777777" w:rsidR="00485716" w:rsidRDefault="00273E27">
            <w:pPr>
              <w:jc w:val="center"/>
              <w:rPr>
                <w:i/>
                <w:iCs/>
                <w:sz w:val="20"/>
              </w:rPr>
            </w:pPr>
            <w:r>
              <w:rPr>
                <w:iCs/>
                <w:sz w:val="20"/>
              </w:rPr>
              <w:t>–</w:t>
            </w:r>
          </w:p>
        </w:tc>
        <w:tc>
          <w:tcPr>
            <w:tcW w:w="992" w:type="dxa"/>
            <w:tcMar>
              <w:left w:w="28" w:type="dxa"/>
              <w:right w:w="28" w:type="dxa"/>
            </w:tcMar>
          </w:tcPr>
          <w:p w14:paraId="7EFDE1B9" w14:textId="77777777" w:rsidR="00485716" w:rsidRDefault="00273E27">
            <w:pPr>
              <w:jc w:val="center"/>
              <w:rPr>
                <w:i/>
                <w:iCs/>
                <w:sz w:val="20"/>
              </w:rPr>
            </w:pPr>
            <w:r>
              <w:rPr>
                <w:iCs/>
                <w:sz w:val="20"/>
              </w:rPr>
              <w:t>–</w:t>
            </w:r>
          </w:p>
        </w:tc>
        <w:tc>
          <w:tcPr>
            <w:tcW w:w="851" w:type="dxa"/>
            <w:tcMar>
              <w:left w:w="28" w:type="dxa"/>
              <w:right w:w="28" w:type="dxa"/>
            </w:tcMar>
          </w:tcPr>
          <w:p w14:paraId="6CC97AAE" w14:textId="77777777" w:rsidR="00485716" w:rsidRDefault="00273E27">
            <w:pPr>
              <w:jc w:val="center"/>
              <w:rPr>
                <w:i/>
                <w:iCs/>
                <w:sz w:val="20"/>
              </w:rPr>
            </w:pPr>
            <w:r>
              <w:rPr>
                <w:iCs/>
                <w:sz w:val="20"/>
              </w:rPr>
              <w:t>–</w:t>
            </w:r>
          </w:p>
        </w:tc>
        <w:tc>
          <w:tcPr>
            <w:tcW w:w="1134" w:type="dxa"/>
          </w:tcPr>
          <w:p w14:paraId="08744473" w14:textId="77777777" w:rsidR="00485716" w:rsidRDefault="00273E27">
            <w:pPr>
              <w:jc w:val="center"/>
              <w:rPr>
                <w:iCs/>
                <w:sz w:val="20"/>
              </w:rPr>
            </w:pPr>
            <w:r>
              <w:rPr>
                <w:iCs/>
                <w:sz w:val="20"/>
              </w:rPr>
              <w:t>Ne</w:t>
            </w:r>
          </w:p>
        </w:tc>
      </w:tr>
    </w:tbl>
    <w:p w14:paraId="1B2A4F15" w14:textId="77777777" w:rsidR="00485716" w:rsidRDefault="00485716">
      <w:pPr>
        <w:ind w:firstLine="567"/>
        <w:jc w:val="both"/>
        <w:rPr>
          <w:i/>
          <w:iCs/>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3969"/>
        <w:gridCol w:w="2552"/>
        <w:gridCol w:w="3827"/>
      </w:tblGrid>
      <w:tr w:rsidR="00485716" w14:paraId="2B2D6DD4" w14:textId="77777777">
        <w:trPr>
          <w:trHeight w:val="405"/>
        </w:trPr>
        <w:tc>
          <w:tcPr>
            <w:tcW w:w="4673" w:type="dxa"/>
            <w:shd w:val="clear" w:color="auto" w:fill="auto"/>
            <w:vAlign w:val="center"/>
          </w:tcPr>
          <w:p w14:paraId="4128977E" w14:textId="77777777" w:rsidR="00485716" w:rsidRDefault="00273E27">
            <w:pPr>
              <w:jc w:val="center"/>
              <w:rPr>
                <w:sz w:val="20"/>
              </w:rPr>
            </w:pPr>
            <w:r>
              <w:rPr>
                <w:sz w:val="20"/>
              </w:rPr>
              <w:t>Rodiklio pavadinimas</w:t>
            </w:r>
          </w:p>
        </w:tc>
        <w:tc>
          <w:tcPr>
            <w:tcW w:w="3969" w:type="dxa"/>
            <w:shd w:val="clear" w:color="auto" w:fill="auto"/>
            <w:vAlign w:val="center"/>
          </w:tcPr>
          <w:p w14:paraId="4D48A5D3" w14:textId="77777777" w:rsidR="00485716" w:rsidRDefault="00273E27">
            <w:pPr>
              <w:jc w:val="center"/>
              <w:rPr>
                <w:sz w:val="20"/>
              </w:rPr>
            </w:pPr>
            <w:r>
              <w:rPr>
                <w:sz w:val="20"/>
              </w:rPr>
              <w:t>Rodiklio kodas</w:t>
            </w:r>
          </w:p>
        </w:tc>
        <w:tc>
          <w:tcPr>
            <w:tcW w:w="2552" w:type="dxa"/>
            <w:shd w:val="clear" w:color="auto" w:fill="auto"/>
            <w:vAlign w:val="center"/>
          </w:tcPr>
          <w:p w14:paraId="770E5C73" w14:textId="77777777" w:rsidR="00485716" w:rsidRDefault="00273E27">
            <w:pPr>
              <w:jc w:val="center"/>
              <w:rPr>
                <w:sz w:val="20"/>
              </w:rPr>
            </w:pPr>
            <w:r>
              <w:rPr>
                <w:sz w:val="20"/>
              </w:rPr>
              <w:t>Matavimo vienetai</w:t>
            </w:r>
          </w:p>
        </w:tc>
        <w:tc>
          <w:tcPr>
            <w:tcW w:w="3827" w:type="dxa"/>
            <w:shd w:val="clear" w:color="auto" w:fill="auto"/>
            <w:vAlign w:val="center"/>
          </w:tcPr>
          <w:p w14:paraId="7CFDAEF2" w14:textId="77777777" w:rsidR="00485716" w:rsidRDefault="00273E27">
            <w:pPr>
              <w:jc w:val="center"/>
              <w:rPr>
                <w:sz w:val="20"/>
              </w:rPr>
            </w:pPr>
            <w:r>
              <w:rPr>
                <w:sz w:val="20"/>
              </w:rPr>
              <w:t>Siektina reikšmė ir pasiekimo data</w:t>
            </w:r>
          </w:p>
        </w:tc>
      </w:tr>
      <w:tr w:rsidR="00485716" w14:paraId="3E944304" w14:textId="77777777">
        <w:trPr>
          <w:trHeight w:val="725"/>
        </w:trPr>
        <w:tc>
          <w:tcPr>
            <w:tcW w:w="4673" w:type="dxa"/>
            <w:vAlign w:val="center"/>
          </w:tcPr>
          <w:p w14:paraId="08DB37DC" w14:textId="77777777" w:rsidR="00485716" w:rsidRDefault="00273E27">
            <w:pPr>
              <w:jc w:val="center"/>
              <w:rPr>
                <w:sz w:val="20"/>
              </w:rPr>
            </w:pPr>
            <w:r>
              <w:rPr>
                <w:sz w:val="20"/>
              </w:rPr>
              <w:t>Alternatyviųjų degalų infrastruktūra (degalų papildymo punktai arba įkrovimo prieigos)</w:t>
            </w:r>
          </w:p>
        </w:tc>
        <w:tc>
          <w:tcPr>
            <w:tcW w:w="3969" w:type="dxa"/>
            <w:vAlign w:val="center"/>
          </w:tcPr>
          <w:p w14:paraId="5CFA9E3B" w14:textId="77777777" w:rsidR="00485716" w:rsidRDefault="00273E27">
            <w:pPr>
              <w:ind w:left="-57" w:right="-57"/>
              <w:jc w:val="center"/>
              <w:rPr>
                <w:sz w:val="20"/>
              </w:rPr>
            </w:pPr>
            <w:r>
              <w:rPr>
                <w:sz w:val="20"/>
              </w:rPr>
              <w:t>R.B.1.2003</w:t>
            </w:r>
          </w:p>
          <w:p w14:paraId="159516D3" w14:textId="77777777" w:rsidR="00485716" w:rsidRDefault="00273E27">
            <w:pPr>
              <w:ind w:left="-57" w:right="-57"/>
              <w:jc w:val="center"/>
              <w:rPr>
                <w:sz w:val="20"/>
              </w:rPr>
            </w:pPr>
            <w:r>
              <w:rPr>
                <w:sz w:val="20"/>
              </w:rPr>
              <w:t>R-10-001-06-01-01-02</w:t>
            </w:r>
          </w:p>
          <w:p w14:paraId="13996AE1" w14:textId="77777777" w:rsidR="00485716" w:rsidRDefault="00485716">
            <w:pPr>
              <w:jc w:val="center"/>
              <w:rPr>
                <w:sz w:val="20"/>
              </w:rPr>
            </w:pPr>
          </w:p>
        </w:tc>
        <w:tc>
          <w:tcPr>
            <w:tcW w:w="2552" w:type="dxa"/>
          </w:tcPr>
          <w:p w14:paraId="7FA6057D" w14:textId="77777777" w:rsidR="00485716" w:rsidRDefault="00273E27">
            <w:pPr>
              <w:jc w:val="center"/>
              <w:rPr>
                <w:sz w:val="20"/>
              </w:rPr>
            </w:pPr>
            <w:r>
              <w:rPr>
                <w:i/>
                <w:iCs/>
                <w:sz w:val="20"/>
              </w:rPr>
              <w:t xml:space="preserve">Skaičius </w:t>
            </w:r>
          </w:p>
        </w:tc>
        <w:tc>
          <w:tcPr>
            <w:tcW w:w="3827" w:type="dxa"/>
          </w:tcPr>
          <w:p w14:paraId="1F2D7EC1" w14:textId="77777777" w:rsidR="00485716" w:rsidRDefault="00273E27">
            <w:pPr>
              <w:ind w:left="-57" w:right="-57"/>
              <w:jc w:val="center"/>
              <w:rPr>
                <w:sz w:val="20"/>
              </w:rPr>
            </w:pPr>
            <w:r>
              <w:rPr>
                <w:sz w:val="20"/>
              </w:rPr>
              <w:t>1 305</w:t>
            </w:r>
          </w:p>
          <w:p w14:paraId="2F646CC9" w14:textId="77777777" w:rsidR="00485716" w:rsidRDefault="00273E27">
            <w:pPr>
              <w:ind w:left="-57" w:right="-57"/>
              <w:jc w:val="center"/>
              <w:rPr>
                <w:sz w:val="20"/>
              </w:rPr>
            </w:pPr>
            <w:r>
              <w:rPr>
                <w:sz w:val="20"/>
              </w:rPr>
              <w:t xml:space="preserve">(2025 m. II </w:t>
            </w:r>
            <w:proofErr w:type="spellStart"/>
            <w:r>
              <w:rPr>
                <w:sz w:val="20"/>
              </w:rPr>
              <w:t>ketv</w:t>
            </w:r>
            <w:proofErr w:type="spellEnd"/>
            <w:r>
              <w:rPr>
                <w:sz w:val="20"/>
              </w:rPr>
              <w:t>.)</w:t>
            </w:r>
          </w:p>
          <w:p w14:paraId="3AAE171D" w14:textId="77777777" w:rsidR="00485716" w:rsidRDefault="00273E27">
            <w:pPr>
              <w:ind w:left="-57" w:right="-57"/>
              <w:jc w:val="center"/>
              <w:rPr>
                <w:sz w:val="20"/>
              </w:rPr>
            </w:pPr>
            <w:r>
              <w:rPr>
                <w:sz w:val="20"/>
              </w:rPr>
              <w:t>3840</w:t>
            </w:r>
          </w:p>
          <w:p w14:paraId="43B980F0" w14:textId="77777777" w:rsidR="00485716" w:rsidRDefault="00273E27">
            <w:pPr>
              <w:ind w:left="-57" w:right="-57"/>
              <w:jc w:val="center"/>
              <w:rPr>
                <w:sz w:val="20"/>
              </w:rPr>
            </w:pPr>
            <w:r>
              <w:rPr>
                <w:sz w:val="20"/>
              </w:rPr>
              <w:t xml:space="preserve">(2026 m. II </w:t>
            </w:r>
            <w:proofErr w:type="spellStart"/>
            <w:r>
              <w:rPr>
                <w:sz w:val="20"/>
              </w:rPr>
              <w:t>ketv</w:t>
            </w:r>
            <w:proofErr w:type="spellEnd"/>
            <w:r>
              <w:rPr>
                <w:sz w:val="20"/>
              </w:rPr>
              <w:t>.</w:t>
            </w:r>
          </w:p>
        </w:tc>
      </w:tr>
      <w:tr w:rsidR="00485716" w14:paraId="1DAA63D7" w14:textId="77777777">
        <w:trPr>
          <w:trHeight w:val="725"/>
        </w:trPr>
        <w:tc>
          <w:tcPr>
            <w:tcW w:w="4673" w:type="dxa"/>
            <w:vAlign w:val="center"/>
          </w:tcPr>
          <w:p w14:paraId="58DBC366" w14:textId="77777777" w:rsidR="00485716" w:rsidRDefault="00273E27">
            <w:pPr>
              <w:jc w:val="center"/>
              <w:rPr>
                <w:sz w:val="20"/>
              </w:rPr>
            </w:pPr>
            <w:r>
              <w:rPr>
                <w:sz w:val="20"/>
              </w:rPr>
              <w:t>Alternatyviųjų degalų infrastruktūra, iš jų įkrovimo prieigos</w:t>
            </w:r>
          </w:p>
        </w:tc>
        <w:tc>
          <w:tcPr>
            <w:tcW w:w="3969" w:type="dxa"/>
            <w:vAlign w:val="center"/>
          </w:tcPr>
          <w:p w14:paraId="01E3FCD2" w14:textId="77777777" w:rsidR="00485716" w:rsidRDefault="00273E27">
            <w:pPr>
              <w:ind w:left="-57" w:right="-57"/>
              <w:jc w:val="center"/>
              <w:rPr>
                <w:sz w:val="20"/>
              </w:rPr>
            </w:pPr>
            <w:r>
              <w:rPr>
                <w:sz w:val="20"/>
              </w:rPr>
              <w:t>R.B.1.2003</w:t>
            </w:r>
          </w:p>
          <w:p w14:paraId="2266B2D2" w14:textId="77777777" w:rsidR="00485716" w:rsidRDefault="00273E27">
            <w:pPr>
              <w:ind w:left="-57" w:right="-57"/>
              <w:jc w:val="center"/>
              <w:rPr>
                <w:sz w:val="20"/>
              </w:rPr>
            </w:pPr>
            <w:r>
              <w:rPr>
                <w:sz w:val="20"/>
              </w:rPr>
              <w:t>R-10-001-06-01-01-03</w:t>
            </w:r>
          </w:p>
          <w:p w14:paraId="58E6F469" w14:textId="77777777" w:rsidR="00485716" w:rsidRDefault="00485716">
            <w:pPr>
              <w:jc w:val="center"/>
              <w:rPr>
                <w:sz w:val="20"/>
              </w:rPr>
            </w:pPr>
          </w:p>
        </w:tc>
        <w:tc>
          <w:tcPr>
            <w:tcW w:w="2552" w:type="dxa"/>
          </w:tcPr>
          <w:p w14:paraId="2F3B53FC" w14:textId="77777777" w:rsidR="00485716" w:rsidRDefault="00273E27">
            <w:pPr>
              <w:jc w:val="center"/>
              <w:rPr>
                <w:sz w:val="20"/>
              </w:rPr>
            </w:pPr>
            <w:r>
              <w:rPr>
                <w:sz w:val="20"/>
              </w:rPr>
              <w:t xml:space="preserve">Skaičius </w:t>
            </w:r>
          </w:p>
        </w:tc>
        <w:tc>
          <w:tcPr>
            <w:tcW w:w="3827" w:type="dxa"/>
          </w:tcPr>
          <w:p w14:paraId="1211BD59" w14:textId="77777777" w:rsidR="00485716" w:rsidRDefault="00273E27">
            <w:pPr>
              <w:ind w:left="-57" w:right="-57"/>
              <w:jc w:val="center"/>
              <w:rPr>
                <w:sz w:val="20"/>
              </w:rPr>
            </w:pPr>
            <w:r>
              <w:rPr>
                <w:sz w:val="20"/>
              </w:rPr>
              <w:t>1 305</w:t>
            </w:r>
          </w:p>
          <w:p w14:paraId="4D99A7CB" w14:textId="77777777" w:rsidR="00485716" w:rsidRDefault="00273E27">
            <w:pPr>
              <w:ind w:left="-57" w:right="-57"/>
              <w:jc w:val="center"/>
              <w:rPr>
                <w:sz w:val="20"/>
              </w:rPr>
            </w:pPr>
            <w:r>
              <w:rPr>
                <w:sz w:val="20"/>
              </w:rPr>
              <w:t xml:space="preserve">(2025 m. II </w:t>
            </w:r>
            <w:proofErr w:type="spellStart"/>
            <w:r>
              <w:rPr>
                <w:sz w:val="20"/>
              </w:rPr>
              <w:t>ketv</w:t>
            </w:r>
            <w:proofErr w:type="spellEnd"/>
            <w:r>
              <w:rPr>
                <w:sz w:val="20"/>
              </w:rPr>
              <w:t>.)</w:t>
            </w:r>
          </w:p>
          <w:p w14:paraId="1AC6F3E2" w14:textId="77777777" w:rsidR="00485716" w:rsidRDefault="00273E27">
            <w:pPr>
              <w:ind w:left="-57" w:right="-57"/>
              <w:jc w:val="center"/>
              <w:rPr>
                <w:sz w:val="20"/>
              </w:rPr>
            </w:pPr>
            <w:r>
              <w:rPr>
                <w:sz w:val="20"/>
              </w:rPr>
              <w:t>3 840</w:t>
            </w:r>
          </w:p>
          <w:p w14:paraId="5D86F679" w14:textId="77777777" w:rsidR="00485716" w:rsidRDefault="00273E27">
            <w:pPr>
              <w:ind w:left="-57" w:right="-57"/>
              <w:jc w:val="center"/>
              <w:rPr>
                <w:sz w:val="20"/>
              </w:rPr>
            </w:pPr>
            <w:r>
              <w:rPr>
                <w:sz w:val="20"/>
              </w:rPr>
              <w:t xml:space="preserve">(2026 m. II </w:t>
            </w:r>
            <w:proofErr w:type="spellStart"/>
            <w:r>
              <w:rPr>
                <w:sz w:val="20"/>
              </w:rPr>
              <w:t>ketv</w:t>
            </w:r>
            <w:proofErr w:type="spellEnd"/>
            <w:r>
              <w:rPr>
                <w:sz w:val="20"/>
              </w:rPr>
              <w:t>.</w:t>
            </w:r>
          </w:p>
        </w:tc>
      </w:tr>
      <w:tr w:rsidR="00485716" w14:paraId="7E7DA6A0" w14:textId="77777777">
        <w:trPr>
          <w:trHeight w:val="725"/>
        </w:trPr>
        <w:tc>
          <w:tcPr>
            <w:tcW w:w="4673" w:type="dxa"/>
            <w:vAlign w:val="center"/>
          </w:tcPr>
          <w:p w14:paraId="2CC4E774" w14:textId="77777777" w:rsidR="00485716" w:rsidRDefault="00273E27">
            <w:pPr>
              <w:jc w:val="center"/>
              <w:rPr>
                <w:sz w:val="20"/>
              </w:rPr>
            </w:pPr>
            <w:r>
              <w:rPr>
                <w:sz w:val="20"/>
              </w:rPr>
              <w:t>Paramą gavusios įmonės</w:t>
            </w:r>
          </w:p>
        </w:tc>
        <w:tc>
          <w:tcPr>
            <w:tcW w:w="3969" w:type="dxa"/>
            <w:vAlign w:val="center"/>
          </w:tcPr>
          <w:p w14:paraId="18F01766" w14:textId="77777777" w:rsidR="00485716" w:rsidRDefault="00273E27">
            <w:pPr>
              <w:ind w:left="-57" w:right="-57"/>
              <w:jc w:val="center"/>
              <w:rPr>
                <w:sz w:val="20"/>
              </w:rPr>
            </w:pPr>
            <w:r>
              <w:rPr>
                <w:sz w:val="20"/>
              </w:rPr>
              <w:t>R.B.1.2009</w:t>
            </w:r>
          </w:p>
          <w:p w14:paraId="4DBE57C1" w14:textId="77777777" w:rsidR="00485716" w:rsidRDefault="00273E27">
            <w:pPr>
              <w:ind w:left="-57" w:right="-57"/>
              <w:jc w:val="center"/>
              <w:rPr>
                <w:sz w:val="20"/>
              </w:rPr>
            </w:pPr>
            <w:r>
              <w:rPr>
                <w:sz w:val="20"/>
              </w:rPr>
              <w:t>R-10-001-06-01-01-06</w:t>
            </w:r>
          </w:p>
          <w:p w14:paraId="1A396DB1" w14:textId="77777777" w:rsidR="00485716" w:rsidRDefault="00485716">
            <w:pPr>
              <w:jc w:val="center"/>
              <w:rPr>
                <w:sz w:val="20"/>
              </w:rPr>
            </w:pPr>
          </w:p>
        </w:tc>
        <w:tc>
          <w:tcPr>
            <w:tcW w:w="2552" w:type="dxa"/>
          </w:tcPr>
          <w:p w14:paraId="2831EC54" w14:textId="77777777" w:rsidR="00485716" w:rsidRDefault="00273E27">
            <w:pPr>
              <w:jc w:val="center"/>
              <w:rPr>
                <w:sz w:val="20"/>
              </w:rPr>
            </w:pPr>
            <w:r>
              <w:rPr>
                <w:sz w:val="20"/>
              </w:rPr>
              <w:t>Skaičius</w:t>
            </w:r>
          </w:p>
        </w:tc>
        <w:tc>
          <w:tcPr>
            <w:tcW w:w="3827" w:type="dxa"/>
          </w:tcPr>
          <w:p w14:paraId="1E4421DE" w14:textId="77777777" w:rsidR="00485716" w:rsidRDefault="00273E27">
            <w:pPr>
              <w:ind w:left="-57" w:right="-57"/>
              <w:jc w:val="center"/>
              <w:rPr>
                <w:sz w:val="20"/>
              </w:rPr>
            </w:pPr>
            <w:r>
              <w:rPr>
                <w:sz w:val="20"/>
              </w:rPr>
              <w:t>-</w:t>
            </w:r>
          </w:p>
          <w:p w14:paraId="36D402D6" w14:textId="77777777" w:rsidR="00485716" w:rsidRDefault="00273E27">
            <w:pPr>
              <w:ind w:left="-57" w:right="-57"/>
              <w:jc w:val="center"/>
              <w:rPr>
                <w:sz w:val="20"/>
              </w:rPr>
            </w:pPr>
            <w:r>
              <w:rPr>
                <w:sz w:val="20"/>
              </w:rPr>
              <w:t xml:space="preserve">(2026 m. II </w:t>
            </w:r>
            <w:proofErr w:type="spellStart"/>
            <w:r>
              <w:rPr>
                <w:sz w:val="20"/>
              </w:rPr>
              <w:t>ketv</w:t>
            </w:r>
            <w:proofErr w:type="spellEnd"/>
            <w:r>
              <w:rPr>
                <w:sz w:val="20"/>
              </w:rPr>
              <w:t>.)</w:t>
            </w:r>
          </w:p>
        </w:tc>
      </w:tr>
      <w:tr w:rsidR="00485716" w14:paraId="6FA7304C" w14:textId="77777777">
        <w:trPr>
          <w:trHeight w:val="725"/>
        </w:trPr>
        <w:tc>
          <w:tcPr>
            <w:tcW w:w="4673" w:type="dxa"/>
            <w:vAlign w:val="center"/>
          </w:tcPr>
          <w:p w14:paraId="356E54FE" w14:textId="77777777" w:rsidR="00485716" w:rsidRDefault="00273E27">
            <w:pPr>
              <w:jc w:val="center"/>
              <w:rPr>
                <w:sz w:val="20"/>
              </w:rPr>
            </w:pPr>
            <w:r>
              <w:rPr>
                <w:sz w:val="20"/>
              </w:rPr>
              <w:t>Paramą gavusios įmonės, iš jų mažos ir labai mažos įmonės</w:t>
            </w:r>
          </w:p>
        </w:tc>
        <w:tc>
          <w:tcPr>
            <w:tcW w:w="3969" w:type="dxa"/>
            <w:vAlign w:val="center"/>
          </w:tcPr>
          <w:p w14:paraId="64BF5A54" w14:textId="77777777" w:rsidR="00485716" w:rsidRDefault="00273E27">
            <w:pPr>
              <w:ind w:left="-57" w:right="-57"/>
              <w:jc w:val="center"/>
              <w:rPr>
                <w:sz w:val="20"/>
              </w:rPr>
            </w:pPr>
            <w:r>
              <w:rPr>
                <w:sz w:val="20"/>
              </w:rPr>
              <w:t>R.B.1.2009.1</w:t>
            </w:r>
          </w:p>
          <w:p w14:paraId="1BF9425A" w14:textId="77777777" w:rsidR="00485716" w:rsidRDefault="00273E27">
            <w:pPr>
              <w:ind w:left="-57" w:right="-57"/>
              <w:jc w:val="center"/>
              <w:rPr>
                <w:sz w:val="20"/>
              </w:rPr>
            </w:pPr>
            <w:r>
              <w:rPr>
                <w:sz w:val="20"/>
              </w:rPr>
              <w:t>R-10-001-06-01-01-07</w:t>
            </w:r>
          </w:p>
          <w:p w14:paraId="44733782" w14:textId="77777777" w:rsidR="00485716" w:rsidRDefault="00485716">
            <w:pPr>
              <w:jc w:val="center"/>
              <w:rPr>
                <w:sz w:val="20"/>
              </w:rPr>
            </w:pPr>
          </w:p>
        </w:tc>
        <w:tc>
          <w:tcPr>
            <w:tcW w:w="2552" w:type="dxa"/>
          </w:tcPr>
          <w:p w14:paraId="132554A4" w14:textId="77777777" w:rsidR="00485716" w:rsidRDefault="00273E27">
            <w:pPr>
              <w:jc w:val="center"/>
              <w:rPr>
                <w:sz w:val="20"/>
              </w:rPr>
            </w:pPr>
            <w:r>
              <w:rPr>
                <w:sz w:val="20"/>
              </w:rPr>
              <w:t>Skaičius</w:t>
            </w:r>
          </w:p>
        </w:tc>
        <w:tc>
          <w:tcPr>
            <w:tcW w:w="3827" w:type="dxa"/>
            <w:vAlign w:val="center"/>
          </w:tcPr>
          <w:p w14:paraId="1A2CC5F6" w14:textId="77777777" w:rsidR="00485716" w:rsidRDefault="00273E27">
            <w:pPr>
              <w:ind w:left="-57" w:right="-57"/>
              <w:jc w:val="center"/>
              <w:rPr>
                <w:sz w:val="20"/>
              </w:rPr>
            </w:pPr>
            <w:r>
              <w:rPr>
                <w:sz w:val="20"/>
              </w:rPr>
              <w:t>-</w:t>
            </w:r>
          </w:p>
          <w:p w14:paraId="42B3328D" w14:textId="77777777" w:rsidR="00485716" w:rsidRDefault="00273E27">
            <w:pPr>
              <w:ind w:left="-57" w:right="-57"/>
              <w:jc w:val="center"/>
              <w:rPr>
                <w:sz w:val="20"/>
              </w:rPr>
            </w:pPr>
            <w:r>
              <w:rPr>
                <w:sz w:val="20"/>
              </w:rPr>
              <w:t xml:space="preserve">(2026 m. II </w:t>
            </w:r>
            <w:proofErr w:type="spellStart"/>
            <w:r>
              <w:rPr>
                <w:sz w:val="20"/>
              </w:rPr>
              <w:t>ketv</w:t>
            </w:r>
            <w:proofErr w:type="spellEnd"/>
            <w:r>
              <w:rPr>
                <w:sz w:val="20"/>
              </w:rPr>
              <w:t>.)</w:t>
            </w:r>
          </w:p>
        </w:tc>
      </w:tr>
      <w:tr w:rsidR="00485716" w14:paraId="15745370" w14:textId="77777777">
        <w:trPr>
          <w:trHeight w:val="725"/>
        </w:trPr>
        <w:tc>
          <w:tcPr>
            <w:tcW w:w="4673" w:type="dxa"/>
            <w:vAlign w:val="center"/>
          </w:tcPr>
          <w:p w14:paraId="7BF4D515" w14:textId="77777777" w:rsidR="00485716" w:rsidRDefault="00273E27">
            <w:pPr>
              <w:jc w:val="center"/>
              <w:rPr>
                <w:sz w:val="20"/>
              </w:rPr>
            </w:pPr>
            <w:r>
              <w:rPr>
                <w:sz w:val="20"/>
              </w:rPr>
              <w:t>Paramą gavusios įmonės, iš jų vidutinės įmonės</w:t>
            </w:r>
          </w:p>
        </w:tc>
        <w:tc>
          <w:tcPr>
            <w:tcW w:w="3969" w:type="dxa"/>
            <w:vAlign w:val="center"/>
          </w:tcPr>
          <w:p w14:paraId="7A9F8208" w14:textId="77777777" w:rsidR="00485716" w:rsidRDefault="00273E27">
            <w:pPr>
              <w:ind w:left="-57" w:right="-57"/>
              <w:jc w:val="center"/>
              <w:rPr>
                <w:sz w:val="20"/>
              </w:rPr>
            </w:pPr>
            <w:r>
              <w:rPr>
                <w:sz w:val="20"/>
              </w:rPr>
              <w:t>R.B.1.2009.2</w:t>
            </w:r>
          </w:p>
          <w:p w14:paraId="544C7367" w14:textId="77777777" w:rsidR="00485716" w:rsidRDefault="00273E27">
            <w:pPr>
              <w:ind w:left="-57" w:right="-57"/>
              <w:jc w:val="center"/>
              <w:rPr>
                <w:sz w:val="20"/>
              </w:rPr>
            </w:pPr>
            <w:r>
              <w:rPr>
                <w:sz w:val="20"/>
              </w:rPr>
              <w:t>R-10-001-06-01-01-08</w:t>
            </w:r>
          </w:p>
          <w:p w14:paraId="13F4120F" w14:textId="77777777" w:rsidR="00485716" w:rsidRDefault="00485716">
            <w:pPr>
              <w:jc w:val="center"/>
              <w:rPr>
                <w:sz w:val="20"/>
              </w:rPr>
            </w:pPr>
          </w:p>
        </w:tc>
        <w:tc>
          <w:tcPr>
            <w:tcW w:w="2552" w:type="dxa"/>
          </w:tcPr>
          <w:p w14:paraId="1565828C" w14:textId="77777777" w:rsidR="00485716" w:rsidRDefault="00273E27">
            <w:pPr>
              <w:jc w:val="center"/>
              <w:rPr>
                <w:sz w:val="20"/>
              </w:rPr>
            </w:pPr>
            <w:r>
              <w:rPr>
                <w:sz w:val="20"/>
              </w:rPr>
              <w:t>Skaičius</w:t>
            </w:r>
          </w:p>
        </w:tc>
        <w:tc>
          <w:tcPr>
            <w:tcW w:w="3827" w:type="dxa"/>
            <w:vAlign w:val="center"/>
          </w:tcPr>
          <w:p w14:paraId="724DF811" w14:textId="77777777" w:rsidR="00485716" w:rsidRDefault="00273E27">
            <w:pPr>
              <w:ind w:left="-57" w:right="-57"/>
              <w:jc w:val="center"/>
              <w:rPr>
                <w:sz w:val="20"/>
              </w:rPr>
            </w:pPr>
            <w:r>
              <w:rPr>
                <w:sz w:val="20"/>
              </w:rPr>
              <w:t>-</w:t>
            </w:r>
          </w:p>
          <w:p w14:paraId="3432A1C2" w14:textId="77777777" w:rsidR="00485716" w:rsidRDefault="00273E27">
            <w:pPr>
              <w:ind w:left="-57" w:right="-57"/>
              <w:jc w:val="center"/>
              <w:rPr>
                <w:sz w:val="20"/>
              </w:rPr>
            </w:pPr>
            <w:r>
              <w:rPr>
                <w:sz w:val="20"/>
              </w:rPr>
              <w:t xml:space="preserve">(2026 m. II </w:t>
            </w:r>
            <w:proofErr w:type="spellStart"/>
            <w:r>
              <w:rPr>
                <w:sz w:val="20"/>
              </w:rPr>
              <w:t>ketv</w:t>
            </w:r>
            <w:proofErr w:type="spellEnd"/>
            <w:r>
              <w:rPr>
                <w:sz w:val="20"/>
              </w:rPr>
              <w:t>.)</w:t>
            </w:r>
          </w:p>
        </w:tc>
      </w:tr>
      <w:tr w:rsidR="00485716" w14:paraId="46C87099" w14:textId="77777777">
        <w:trPr>
          <w:trHeight w:val="725"/>
        </w:trPr>
        <w:tc>
          <w:tcPr>
            <w:tcW w:w="4673" w:type="dxa"/>
            <w:vAlign w:val="center"/>
          </w:tcPr>
          <w:p w14:paraId="2AB1BFDD" w14:textId="77777777" w:rsidR="00485716" w:rsidRDefault="00273E27">
            <w:pPr>
              <w:jc w:val="center"/>
              <w:rPr>
                <w:sz w:val="20"/>
              </w:rPr>
            </w:pPr>
            <w:r>
              <w:rPr>
                <w:sz w:val="20"/>
              </w:rPr>
              <w:t>Paramą gavusios įmonės, iš jų didelės įmonės</w:t>
            </w:r>
          </w:p>
        </w:tc>
        <w:tc>
          <w:tcPr>
            <w:tcW w:w="3969" w:type="dxa"/>
            <w:vAlign w:val="center"/>
          </w:tcPr>
          <w:p w14:paraId="001A4267" w14:textId="77777777" w:rsidR="00485716" w:rsidRDefault="00273E27">
            <w:pPr>
              <w:ind w:left="-57" w:right="-57"/>
              <w:jc w:val="center"/>
              <w:rPr>
                <w:sz w:val="20"/>
              </w:rPr>
            </w:pPr>
            <w:r>
              <w:rPr>
                <w:sz w:val="20"/>
              </w:rPr>
              <w:t>R.B.1.2009.3</w:t>
            </w:r>
          </w:p>
          <w:p w14:paraId="0A7216FA" w14:textId="77777777" w:rsidR="00485716" w:rsidRDefault="00273E27">
            <w:pPr>
              <w:ind w:left="-57" w:right="-57"/>
              <w:jc w:val="center"/>
              <w:rPr>
                <w:sz w:val="20"/>
              </w:rPr>
            </w:pPr>
            <w:r>
              <w:rPr>
                <w:sz w:val="20"/>
              </w:rPr>
              <w:t>R-10-001-06-01-01-09</w:t>
            </w:r>
          </w:p>
          <w:p w14:paraId="55E83915" w14:textId="77777777" w:rsidR="00485716" w:rsidRDefault="00485716">
            <w:pPr>
              <w:jc w:val="center"/>
              <w:rPr>
                <w:sz w:val="20"/>
              </w:rPr>
            </w:pPr>
          </w:p>
        </w:tc>
        <w:tc>
          <w:tcPr>
            <w:tcW w:w="2552" w:type="dxa"/>
          </w:tcPr>
          <w:p w14:paraId="48E2AEB0" w14:textId="77777777" w:rsidR="00485716" w:rsidRDefault="00273E27">
            <w:pPr>
              <w:jc w:val="center"/>
              <w:rPr>
                <w:sz w:val="20"/>
              </w:rPr>
            </w:pPr>
            <w:r>
              <w:rPr>
                <w:sz w:val="20"/>
              </w:rPr>
              <w:t>Skaičius</w:t>
            </w:r>
          </w:p>
        </w:tc>
        <w:tc>
          <w:tcPr>
            <w:tcW w:w="3827" w:type="dxa"/>
            <w:vAlign w:val="center"/>
          </w:tcPr>
          <w:p w14:paraId="3B547F36" w14:textId="77777777" w:rsidR="00485716" w:rsidRDefault="00273E27">
            <w:pPr>
              <w:ind w:left="-57" w:right="-57"/>
              <w:jc w:val="center"/>
              <w:rPr>
                <w:sz w:val="20"/>
              </w:rPr>
            </w:pPr>
            <w:r>
              <w:rPr>
                <w:sz w:val="20"/>
              </w:rPr>
              <w:t>-</w:t>
            </w:r>
          </w:p>
          <w:p w14:paraId="33A11C53" w14:textId="77777777" w:rsidR="00485716" w:rsidRDefault="00273E27">
            <w:pPr>
              <w:ind w:left="-57" w:right="-57"/>
              <w:jc w:val="center"/>
              <w:rPr>
                <w:sz w:val="20"/>
              </w:rPr>
            </w:pPr>
            <w:r>
              <w:rPr>
                <w:sz w:val="20"/>
              </w:rPr>
              <w:t xml:space="preserve">(2026 m. II </w:t>
            </w:r>
            <w:proofErr w:type="spellStart"/>
            <w:r>
              <w:rPr>
                <w:sz w:val="20"/>
              </w:rPr>
              <w:t>ketv</w:t>
            </w:r>
            <w:proofErr w:type="spellEnd"/>
            <w:r>
              <w:rPr>
                <w:sz w:val="20"/>
              </w:rPr>
              <w:t>.)</w:t>
            </w:r>
          </w:p>
        </w:tc>
      </w:tr>
      <w:tr w:rsidR="00485716" w14:paraId="3AEDA95C" w14:textId="77777777">
        <w:trPr>
          <w:trHeight w:val="725"/>
        </w:trPr>
        <w:tc>
          <w:tcPr>
            <w:tcW w:w="4673" w:type="dxa"/>
          </w:tcPr>
          <w:p w14:paraId="12946C43" w14:textId="77777777" w:rsidR="00485716" w:rsidRDefault="00273E27">
            <w:pPr>
              <w:jc w:val="center"/>
              <w:rPr>
                <w:i/>
                <w:iCs/>
                <w:sz w:val="20"/>
              </w:rPr>
            </w:pPr>
            <w:r>
              <w:rPr>
                <w:sz w:val="20"/>
              </w:rPr>
              <w:t>Pradėjusios veikti viešosios ir pusiau viešosios įkrovimo prieigos ir labai didelės galios įkrovimo prieigos krovininiam transportui ir (arba) autobusams (RRFCI03)</w:t>
            </w:r>
          </w:p>
        </w:tc>
        <w:tc>
          <w:tcPr>
            <w:tcW w:w="3969" w:type="dxa"/>
          </w:tcPr>
          <w:p w14:paraId="6309EF2D" w14:textId="77777777" w:rsidR="00485716" w:rsidRDefault="00273E27">
            <w:pPr>
              <w:jc w:val="center"/>
              <w:rPr>
                <w:sz w:val="20"/>
              </w:rPr>
            </w:pPr>
            <w:r>
              <w:rPr>
                <w:sz w:val="20"/>
              </w:rPr>
              <w:t>P.S.1.1039</w:t>
            </w:r>
          </w:p>
          <w:p w14:paraId="0F296AF7" w14:textId="77777777" w:rsidR="00485716" w:rsidRDefault="00273E27">
            <w:pPr>
              <w:jc w:val="center"/>
              <w:rPr>
                <w:i/>
                <w:iCs/>
                <w:sz w:val="20"/>
              </w:rPr>
            </w:pPr>
            <w:r>
              <w:rPr>
                <w:sz w:val="20"/>
              </w:rPr>
              <w:t>(P-10-001-06-01-01-10)</w:t>
            </w:r>
          </w:p>
        </w:tc>
        <w:tc>
          <w:tcPr>
            <w:tcW w:w="2552" w:type="dxa"/>
          </w:tcPr>
          <w:p w14:paraId="42F9427F" w14:textId="77777777" w:rsidR="00485716" w:rsidRDefault="00273E27">
            <w:pPr>
              <w:jc w:val="center"/>
              <w:rPr>
                <w:i/>
                <w:iCs/>
                <w:sz w:val="20"/>
              </w:rPr>
            </w:pPr>
            <w:r>
              <w:rPr>
                <w:sz w:val="20"/>
              </w:rPr>
              <w:t>Skaičius</w:t>
            </w:r>
          </w:p>
        </w:tc>
        <w:tc>
          <w:tcPr>
            <w:tcW w:w="3827" w:type="dxa"/>
          </w:tcPr>
          <w:p w14:paraId="6F78E7E3" w14:textId="77777777" w:rsidR="00485716" w:rsidRDefault="00273E27">
            <w:pPr>
              <w:ind w:left="-57" w:right="-57"/>
              <w:jc w:val="center"/>
              <w:rPr>
                <w:sz w:val="20"/>
              </w:rPr>
            </w:pPr>
            <w:r>
              <w:rPr>
                <w:sz w:val="20"/>
              </w:rPr>
              <w:t>1 305</w:t>
            </w:r>
          </w:p>
          <w:p w14:paraId="0C64E2EF" w14:textId="77777777" w:rsidR="00485716" w:rsidRDefault="00273E27">
            <w:pPr>
              <w:ind w:left="-57" w:right="-57"/>
              <w:jc w:val="center"/>
              <w:rPr>
                <w:sz w:val="20"/>
              </w:rPr>
            </w:pPr>
            <w:r>
              <w:rPr>
                <w:sz w:val="20"/>
              </w:rPr>
              <w:t xml:space="preserve">(2025 m. II </w:t>
            </w:r>
            <w:proofErr w:type="spellStart"/>
            <w:r>
              <w:rPr>
                <w:sz w:val="20"/>
              </w:rPr>
              <w:t>ketv</w:t>
            </w:r>
            <w:proofErr w:type="spellEnd"/>
            <w:r>
              <w:rPr>
                <w:sz w:val="20"/>
              </w:rPr>
              <w:t>.)</w:t>
            </w:r>
          </w:p>
          <w:p w14:paraId="15629ADB" w14:textId="77777777" w:rsidR="00485716" w:rsidRDefault="00273E27">
            <w:pPr>
              <w:ind w:left="-57" w:right="-57"/>
              <w:jc w:val="center"/>
              <w:rPr>
                <w:sz w:val="20"/>
              </w:rPr>
            </w:pPr>
            <w:r>
              <w:rPr>
                <w:sz w:val="20"/>
              </w:rPr>
              <w:t>3 840</w:t>
            </w:r>
          </w:p>
          <w:p w14:paraId="02DB8799" w14:textId="77777777" w:rsidR="00485716" w:rsidRDefault="00273E27">
            <w:pPr>
              <w:jc w:val="center"/>
              <w:rPr>
                <w:sz w:val="20"/>
              </w:rPr>
            </w:pPr>
            <w:r>
              <w:rPr>
                <w:sz w:val="20"/>
              </w:rPr>
              <w:t xml:space="preserve">(2026 m. II </w:t>
            </w:r>
            <w:proofErr w:type="spellStart"/>
            <w:r>
              <w:rPr>
                <w:sz w:val="20"/>
              </w:rPr>
              <w:t>ketv</w:t>
            </w:r>
            <w:proofErr w:type="spellEnd"/>
            <w:r>
              <w:rPr>
                <w:sz w:val="20"/>
              </w:rPr>
              <w:t>.)</w:t>
            </w:r>
          </w:p>
        </w:tc>
      </w:tr>
    </w:tbl>
    <w:p w14:paraId="4A8711C7" w14:textId="77777777" w:rsidR="00485716" w:rsidRDefault="00485716">
      <w:pPr>
        <w:ind w:firstLine="567"/>
        <w:jc w:val="both"/>
        <w:rPr>
          <w:i/>
          <w:iCs/>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485716" w14:paraId="3C5180E4" w14:textId="77777777">
        <w:trPr>
          <w:trHeight w:val="298"/>
        </w:trPr>
        <w:tc>
          <w:tcPr>
            <w:tcW w:w="15021" w:type="dxa"/>
            <w:tcBorders>
              <w:top w:val="single" w:sz="4" w:space="0" w:color="auto"/>
              <w:left w:val="single" w:sz="4" w:space="0" w:color="auto"/>
              <w:bottom w:val="single" w:sz="4" w:space="0" w:color="auto"/>
              <w:right w:val="single" w:sz="4" w:space="0" w:color="auto"/>
            </w:tcBorders>
            <w:hideMark/>
          </w:tcPr>
          <w:p w14:paraId="3AC1EA97" w14:textId="77777777" w:rsidR="00485716" w:rsidRDefault="00273E27">
            <w:pPr>
              <w:jc w:val="both"/>
              <w:rPr>
                <w:b/>
                <w:bCs/>
                <w:szCs w:val="24"/>
              </w:rPr>
            </w:pPr>
            <w:r>
              <w:rPr>
                <w:b/>
                <w:bCs/>
                <w:szCs w:val="24"/>
              </w:rPr>
              <w:lastRenderedPageBreak/>
              <w:t>Susisiekimo ministerijos stebėsenos rodiklių aprašymo kortelės</w:t>
            </w:r>
          </w:p>
        </w:tc>
      </w:tr>
      <w:tr w:rsidR="00485716" w14:paraId="7D140881" w14:textId="77777777">
        <w:trPr>
          <w:trHeight w:val="491"/>
        </w:trPr>
        <w:tc>
          <w:tcPr>
            <w:tcW w:w="15021" w:type="dxa"/>
            <w:tcBorders>
              <w:top w:val="single" w:sz="4" w:space="0" w:color="auto"/>
              <w:left w:val="single" w:sz="4" w:space="0" w:color="auto"/>
              <w:bottom w:val="single" w:sz="4" w:space="0" w:color="auto"/>
              <w:right w:val="single" w:sz="4" w:space="0" w:color="auto"/>
            </w:tcBorders>
            <w:hideMark/>
          </w:tcPr>
          <w:p w14:paraId="1DCA8319" w14:textId="77777777" w:rsidR="00485716" w:rsidRDefault="00273E27">
            <w:pPr>
              <w:jc w:val="both"/>
              <w:rPr>
                <w:i/>
                <w:szCs w:val="24"/>
              </w:rPr>
            </w:pPr>
            <w:r>
              <w:t xml:space="preserve">Pasiektos stebėsenos rodiklių reikšmės apskaičiuojamos pagal metodiką, nustatytą stebėsenos rodiklių aprašymo kortelėse, kurios skelbiamos Europos Sąjungos investicijų interneto svetainėje </w:t>
            </w:r>
            <w:proofErr w:type="spellStart"/>
            <w:r>
              <w:t>esinvesticijos.lt</w:t>
            </w:r>
            <w:proofErr w:type="spellEnd"/>
            <w:r>
              <w:t xml:space="preserve"> (https://2021.esinvesticijos.lt/dokumentai/stebesenos-rodikliu-suvestine) ir Lietuvos Respublikos susisiekimo ministerijos interneto svetainės www.sumin.lt skyriaus „Administracinė informacija“ srityje „Planavimo dokumentai“, „Patvirtintos Plėtros programos pažangos priemonės“ prie pažangos priemonės</w:t>
            </w:r>
            <w:r>
              <w:rPr>
                <w:b/>
                <w:bCs/>
                <w:szCs w:val="24"/>
                <w:lang w:eastAsia="lt-LT"/>
              </w:rPr>
              <w:t xml:space="preserve"> </w:t>
            </w:r>
            <w:r>
              <w:rPr>
                <w:szCs w:val="24"/>
                <w:lang w:eastAsia="lt-LT"/>
              </w:rPr>
              <w:t>Nr. 10-001-06-01-01</w:t>
            </w:r>
            <w:r>
              <w:t xml:space="preserve"> „Skatinti alternatyviųjų degalų naudojimą transporto sektoriuje“ informacijos (https://sumin.lrv.lt/lt/administracine-informacija/pazangos-priemone-nr-10-001-06-01-01-skatinti-alternatyviuju-degalu-naudojima-transporto-sektoriuje). </w:t>
            </w:r>
          </w:p>
        </w:tc>
      </w:tr>
    </w:tbl>
    <w:p w14:paraId="04974670" w14:textId="77777777" w:rsidR="00485716" w:rsidRDefault="00485716">
      <w:pPr>
        <w:ind w:firstLine="567"/>
        <w:jc w:val="both"/>
        <w:rPr>
          <w:i/>
          <w:iCs/>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1"/>
      </w:tblGrid>
      <w:tr w:rsidR="00485716" w14:paraId="55B9C08E" w14:textId="77777777">
        <w:tc>
          <w:tcPr>
            <w:tcW w:w="15021" w:type="dxa"/>
          </w:tcPr>
          <w:p w14:paraId="3A75D6AF" w14:textId="77777777" w:rsidR="00485716" w:rsidRDefault="00273E27">
            <w:pPr>
              <w:rPr>
                <w:b/>
                <w:szCs w:val="24"/>
              </w:rPr>
            </w:pPr>
            <w:r>
              <w:rPr>
                <w:b/>
                <w:szCs w:val="24"/>
              </w:rPr>
              <w:t>SPECIALIEJI FINANSAVIMO REIKALAVIMAI</w:t>
            </w:r>
          </w:p>
        </w:tc>
      </w:tr>
      <w:tr w:rsidR="00485716" w14:paraId="388829B4" w14:textId="77777777">
        <w:tc>
          <w:tcPr>
            <w:tcW w:w="15021" w:type="dxa"/>
          </w:tcPr>
          <w:p w14:paraId="521CDE47" w14:textId="77777777" w:rsidR="00485716" w:rsidRDefault="00273E27">
            <w:pPr>
              <w:rPr>
                <w:b/>
                <w:bCs/>
                <w:szCs w:val="24"/>
              </w:rPr>
            </w:pPr>
            <w:r>
              <w:rPr>
                <w:b/>
                <w:bCs/>
                <w:szCs w:val="24"/>
              </w:rPr>
              <w:t>1. Taikomi teisės aktai</w:t>
            </w:r>
          </w:p>
        </w:tc>
      </w:tr>
      <w:tr w:rsidR="00485716" w14:paraId="420534C6" w14:textId="77777777">
        <w:tc>
          <w:tcPr>
            <w:tcW w:w="15021" w:type="dxa"/>
          </w:tcPr>
          <w:p w14:paraId="5AB4A50C" w14:textId="77777777" w:rsidR="00485716" w:rsidRDefault="00273E27">
            <w:pPr>
              <w:jc w:val="both"/>
              <w:rPr>
                <w:szCs w:val="24"/>
              </w:rPr>
            </w:pPr>
            <w:r>
              <w:rPr>
                <w:szCs w:val="24"/>
              </w:rPr>
              <w:t>1.1.</w:t>
            </w:r>
            <w:r>
              <w:rPr>
                <w:szCs w:val="24"/>
              </w:rPr>
              <w:tab/>
              <w:t xml:space="preserve"> 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w:t>
            </w:r>
            <w:proofErr w:type="spellStart"/>
            <w:r>
              <w:rPr>
                <w:szCs w:val="24"/>
              </w:rPr>
              <w:t>poveiklės</w:t>
            </w:r>
            <w:proofErr w:type="spellEnd"/>
            <w:r>
              <w:rPr>
                <w:szCs w:val="24"/>
              </w:rPr>
              <w:t xml:space="preserve"> „Viešai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 projektų finansavimo sąlygų aprašas (toliau – Aprašas) yra parengtas atsižvelgiant į:</w:t>
            </w:r>
          </w:p>
          <w:p w14:paraId="5F2CA236" w14:textId="77777777" w:rsidR="00485716" w:rsidRDefault="00273E27">
            <w:pPr>
              <w:jc w:val="both"/>
              <w:rPr>
                <w:szCs w:val="24"/>
                <w:lang w:eastAsia="lt-LT"/>
              </w:rPr>
            </w:pPr>
            <w:r>
              <w:rPr>
                <w:szCs w:val="24"/>
                <w:lang w:eastAsia="lt-LT"/>
              </w:rPr>
              <w:t>1.1.1.</w:t>
            </w:r>
            <w:r>
              <w:rPr>
                <w:szCs w:val="24"/>
                <w:lang w:eastAsia="lt-LT"/>
              </w:rPr>
              <w:tab/>
              <w:t xml:space="preserve"> 2021 m. vasario 12 d. Europos Parlamento ir Tarybos reglamentą (ES) 2021/241, kuriuo nustatoma ekonomikos gaivinimo ir atsparumo didinimo priemonė;</w:t>
            </w:r>
          </w:p>
          <w:p w14:paraId="4E57DE30" w14:textId="77777777" w:rsidR="00485716" w:rsidRDefault="00273E27">
            <w:pPr>
              <w:tabs>
                <w:tab w:val="left" w:pos="171"/>
                <w:tab w:val="left" w:pos="313"/>
                <w:tab w:val="left" w:pos="454"/>
              </w:tabs>
              <w:jc w:val="both"/>
              <w:rPr>
                <w:szCs w:val="24"/>
                <w:lang w:eastAsia="lt-LT"/>
              </w:rPr>
            </w:pPr>
            <w:r>
              <w:rPr>
                <w:szCs w:val="24"/>
                <w:lang w:eastAsia="lt-LT"/>
              </w:rPr>
              <w:t>1.1.2.</w:t>
            </w:r>
            <w:r>
              <w:rPr>
                <w:szCs w:val="24"/>
                <w:lang w:eastAsia="lt-LT"/>
              </w:rPr>
              <w:tab/>
            </w:r>
            <w:r>
              <w:rPr>
                <w:szCs w:val="24"/>
              </w:rPr>
              <w:t xml:space="preserve"> 2014 m. birželio 17 d. Komisijos reglamentą (ES) Nr. 651/2014, kuriuo tam tikrų kategorijų pagalba skelbiama suderinama su vidaus rinka taikant Sutarties 107 ir 108 straipsnius reglamentą (ES) Nr. 651/2014 (toliau – Reglamentas (ES) Nr. 651/2014)</w:t>
            </w:r>
            <w:r>
              <w:rPr>
                <w:szCs w:val="24"/>
                <w:lang w:eastAsia="lt-LT"/>
              </w:rPr>
              <w:t>;</w:t>
            </w:r>
          </w:p>
          <w:p w14:paraId="1BF3B8D9" w14:textId="77777777" w:rsidR="00485716" w:rsidRDefault="00273E27">
            <w:pPr>
              <w:tabs>
                <w:tab w:val="left" w:pos="171"/>
                <w:tab w:val="left" w:pos="313"/>
                <w:tab w:val="left" w:pos="454"/>
                <w:tab w:val="left" w:pos="741"/>
              </w:tabs>
              <w:jc w:val="both"/>
              <w:rPr>
                <w:szCs w:val="24"/>
                <w:shd w:val="clear" w:color="auto" w:fill="FFFFFF"/>
              </w:rPr>
            </w:pPr>
            <w:r>
              <w:rPr>
                <w:szCs w:val="24"/>
              </w:rPr>
              <w:t>1.1.3.</w:t>
            </w:r>
            <w:r>
              <w:rPr>
                <w:szCs w:val="24"/>
              </w:rPr>
              <w:tab/>
            </w:r>
            <w:r>
              <w:rPr>
                <w:szCs w:val="24"/>
                <w:lang w:eastAsia="lt-LT"/>
              </w:rPr>
              <w:t>2</w:t>
            </w:r>
            <w:r>
              <w:rPr>
                <w:szCs w:val="24"/>
              </w:rPr>
              <w:t>021 m. liepos 28 d. Europos Tarybos įgyvendinimo sprendimą dėl Lietuvos ekonomikos gaivinimo ir atsparumo didinimo plano „Naujos kartos Lietuva“ įvertinimo patvirtinimo</w:t>
            </w:r>
            <w:r>
              <w:rPr>
                <w:szCs w:val="24"/>
                <w:lang w:eastAsia="lt-LT"/>
              </w:rPr>
              <w:t>;</w:t>
            </w:r>
          </w:p>
          <w:p w14:paraId="70071566" w14:textId="77777777" w:rsidR="00485716" w:rsidRDefault="00273E27">
            <w:pPr>
              <w:tabs>
                <w:tab w:val="left" w:pos="171"/>
                <w:tab w:val="left" w:pos="313"/>
                <w:tab w:val="left" w:pos="454"/>
                <w:tab w:val="left" w:pos="596"/>
              </w:tabs>
              <w:jc w:val="both"/>
              <w:rPr>
                <w:szCs w:val="24"/>
              </w:rPr>
            </w:pPr>
            <w:r>
              <w:rPr>
                <w:szCs w:val="24"/>
              </w:rPr>
              <w:t>1.1.4.</w:t>
            </w:r>
            <w:r>
              <w:rPr>
                <w:szCs w:val="24"/>
              </w:rPr>
              <w:tab/>
            </w:r>
            <w:r>
              <w:rPr>
                <w:szCs w:val="24"/>
                <w:shd w:val="clear" w:color="auto" w:fill="FFFFFF"/>
              </w:rPr>
              <w:t>2018 m. gruodžio 11 d. Europos Parlamento ir Tarybos direktyvą (ES) 2018/2001 dėl skatinimo naudoti atsinaujinančiųjų išteklių energiją;</w:t>
            </w:r>
          </w:p>
          <w:p w14:paraId="5ACCEF93" w14:textId="77777777" w:rsidR="00485716" w:rsidRDefault="00273E27">
            <w:pPr>
              <w:tabs>
                <w:tab w:val="left" w:pos="171"/>
                <w:tab w:val="left" w:pos="313"/>
                <w:tab w:val="left" w:pos="454"/>
                <w:tab w:val="left" w:pos="596"/>
              </w:tabs>
              <w:jc w:val="both"/>
              <w:rPr>
                <w:szCs w:val="24"/>
              </w:rPr>
            </w:pPr>
            <w:r>
              <w:rPr>
                <w:szCs w:val="24"/>
              </w:rPr>
              <w:t>1.1.5.</w:t>
            </w:r>
            <w:r>
              <w:rPr>
                <w:szCs w:val="24"/>
              </w:rPr>
              <w:tab/>
              <w:t>2014 m. spalio 22 d. Europos Parlamento ir Tarybos direktyvą 2014/94/ES dėl alternatyviųjų degalų infrastruktūros diegimo;</w:t>
            </w:r>
          </w:p>
          <w:p w14:paraId="030FCE9F" w14:textId="77777777" w:rsidR="00485716" w:rsidRDefault="00273E27">
            <w:pPr>
              <w:tabs>
                <w:tab w:val="left" w:pos="171"/>
                <w:tab w:val="left" w:pos="313"/>
                <w:tab w:val="left" w:pos="454"/>
              </w:tabs>
              <w:jc w:val="both"/>
              <w:rPr>
                <w:szCs w:val="24"/>
                <w:lang w:eastAsia="lt-LT"/>
              </w:rPr>
            </w:pPr>
            <w:r>
              <w:rPr>
                <w:szCs w:val="24"/>
                <w:lang w:eastAsia="lt-LT"/>
              </w:rPr>
              <w:t>1.1.6.</w:t>
            </w:r>
            <w:r>
              <w:rPr>
                <w:szCs w:val="24"/>
                <w:lang w:eastAsia="lt-LT"/>
              </w:rPr>
              <w:tab/>
            </w:r>
            <w:r>
              <w:rPr>
                <w:szCs w:val="24"/>
              </w:rPr>
              <w:t xml:space="preserve"> 2021 m. liepos 14 d. pasiūlymą Nr. 9111/22 dėl Europos Parlamento ir Tarybos reglamento dėl alternatyviųjų degalų infrastruktūros diegimo, kuriuo panaikinama Europos Parlamento ir Tarybos direktyva 2014/94/ES, ir šio pasiūlymo bendrąjį požiūrį 9585/22;</w:t>
            </w:r>
          </w:p>
          <w:p w14:paraId="107652AD" w14:textId="77777777" w:rsidR="00485716" w:rsidRDefault="00273E27">
            <w:pPr>
              <w:tabs>
                <w:tab w:val="left" w:pos="171"/>
                <w:tab w:val="left" w:pos="313"/>
                <w:tab w:val="left" w:pos="454"/>
                <w:tab w:val="left" w:pos="596"/>
              </w:tabs>
              <w:jc w:val="both"/>
              <w:rPr>
                <w:szCs w:val="24"/>
                <w:lang w:eastAsia="lt-LT"/>
              </w:rPr>
            </w:pPr>
            <w:r>
              <w:rPr>
                <w:szCs w:val="24"/>
                <w:lang w:eastAsia="lt-LT"/>
              </w:rPr>
              <w:t>1.1.7.</w:t>
            </w:r>
            <w:r>
              <w:rPr>
                <w:szCs w:val="24"/>
                <w:lang w:eastAsia="lt-LT"/>
              </w:rPr>
              <w:tab/>
            </w:r>
            <w:r>
              <w:rPr>
                <w:szCs w:val="24"/>
              </w:rPr>
              <w:t>Nacionalinę klimato kaitos valdymo darbotvarkę, patvirtintą Lietuvos Respublikos Seimo 2021 m. birželio 30 d. nutarimu Nr. XIV-490 „Dėl Nacionalinės klimato kaitos valdymo darbotvarkės patvirtinimo“;</w:t>
            </w:r>
          </w:p>
          <w:p w14:paraId="264E7112" w14:textId="77777777" w:rsidR="00485716" w:rsidRDefault="00273E27">
            <w:pPr>
              <w:tabs>
                <w:tab w:val="left" w:pos="171"/>
                <w:tab w:val="left" w:pos="313"/>
                <w:tab w:val="left" w:pos="454"/>
              </w:tabs>
              <w:jc w:val="both"/>
              <w:rPr>
                <w:szCs w:val="24"/>
              </w:rPr>
            </w:pPr>
            <w:r>
              <w:rPr>
                <w:szCs w:val="24"/>
              </w:rPr>
              <w:t>1.1.8.</w:t>
            </w:r>
            <w:r>
              <w:rPr>
                <w:szCs w:val="24"/>
              </w:rPr>
              <w:tab/>
            </w:r>
            <w:r>
              <w:rPr>
                <w:szCs w:val="24"/>
                <w:lang w:eastAsia="lt-LT"/>
              </w:rPr>
              <w:t xml:space="preserve"> 2021–2030 metų nacionalinį pažangos planą, patvirtintą Lietuvos Respublikos Vyriausybės 2020 m. rugsėjo 9 d. nutarimu Nr. 998 „Dėl 2021–2030 metų nacionalinio pažangos plano patvirtinimo“</w:t>
            </w:r>
            <w:r>
              <w:rPr>
                <w:szCs w:val="24"/>
              </w:rPr>
              <w:t xml:space="preserve"> (toliau –  Nacionalinis pažangos planas)</w:t>
            </w:r>
            <w:r>
              <w:rPr>
                <w:szCs w:val="24"/>
                <w:lang w:eastAsia="lt-LT"/>
              </w:rPr>
              <w:t>;</w:t>
            </w:r>
          </w:p>
          <w:p w14:paraId="2A548F31" w14:textId="77777777" w:rsidR="00485716" w:rsidRDefault="00273E27">
            <w:pPr>
              <w:tabs>
                <w:tab w:val="left" w:pos="171"/>
                <w:tab w:val="left" w:pos="313"/>
                <w:tab w:val="left" w:pos="454"/>
              </w:tabs>
              <w:jc w:val="both"/>
              <w:rPr>
                <w:szCs w:val="24"/>
              </w:rPr>
            </w:pPr>
            <w:r>
              <w:rPr>
                <w:szCs w:val="24"/>
              </w:rPr>
              <w:t>1.1.9.</w:t>
            </w:r>
            <w:r>
              <w:rPr>
                <w:szCs w:val="24"/>
              </w:rPr>
              <w:tab/>
              <w:t xml:space="preserve"> Lietuvos Respublikos teritorijos bendrąjį planą, patvirtintą Lietuvos Respublikos Vyriausybės 2021 m. rugsėjo 29 d. nutarimu Nr. 789 „Dėl Lietuvos Respublikos teritorijos bendrojo plano patvirtinimo“ (toliau – Teritorijos bendrasis planas);</w:t>
            </w:r>
          </w:p>
          <w:p w14:paraId="09060181" w14:textId="77777777" w:rsidR="00485716" w:rsidRDefault="00273E27">
            <w:pPr>
              <w:tabs>
                <w:tab w:val="left" w:pos="171"/>
                <w:tab w:val="left" w:pos="313"/>
                <w:tab w:val="left" w:pos="454"/>
                <w:tab w:val="left" w:pos="741"/>
              </w:tabs>
              <w:jc w:val="both"/>
              <w:rPr>
                <w:szCs w:val="24"/>
                <w:lang w:eastAsia="lt-LT"/>
              </w:rPr>
            </w:pPr>
            <w:r>
              <w:rPr>
                <w:szCs w:val="24"/>
                <w:lang w:eastAsia="lt-LT"/>
              </w:rPr>
              <w:t>1.1.10.</w:t>
            </w:r>
            <w:r>
              <w:rPr>
                <w:szCs w:val="24"/>
                <w:lang w:eastAsia="lt-LT"/>
              </w:rPr>
              <w:tab/>
            </w:r>
            <w:r>
              <w:rPr>
                <w:szCs w:val="24"/>
              </w:rPr>
              <w:t>Nacionalinį oro taršos mažinimo planą, patvirtintą Lietuvos Respublikos Vyriausybės 2019 m. balandžio 17 d. nutarimu Nr. 371 „Dėl Nacionalinio oro taršos mažinimo plano patvirtinimo“;</w:t>
            </w:r>
          </w:p>
          <w:p w14:paraId="467455E7" w14:textId="77777777" w:rsidR="00485716" w:rsidRDefault="00273E27">
            <w:pPr>
              <w:tabs>
                <w:tab w:val="left" w:pos="171"/>
                <w:tab w:val="left" w:pos="313"/>
                <w:tab w:val="left" w:pos="454"/>
                <w:tab w:val="left" w:pos="741"/>
              </w:tabs>
              <w:jc w:val="both"/>
              <w:rPr>
                <w:szCs w:val="24"/>
                <w:lang w:eastAsia="lt-LT"/>
              </w:rPr>
            </w:pPr>
            <w:r>
              <w:rPr>
                <w:szCs w:val="24"/>
                <w:lang w:eastAsia="lt-LT"/>
              </w:rPr>
              <w:t>1.1.11.</w:t>
            </w:r>
            <w:r>
              <w:rPr>
                <w:szCs w:val="24"/>
                <w:lang w:eastAsia="lt-LT"/>
              </w:rPr>
              <w:tab/>
            </w:r>
            <w:r>
              <w:rPr>
                <w:szCs w:val="24"/>
              </w:rPr>
              <w:t>Lietuvos Respublikos alternatyviųjų degalų įstatymą;</w:t>
            </w:r>
          </w:p>
          <w:p w14:paraId="781066EA" w14:textId="77777777" w:rsidR="00485716" w:rsidRDefault="00273E27">
            <w:pPr>
              <w:tabs>
                <w:tab w:val="left" w:pos="171"/>
                <w:tab w:val="left" w:pos="313"/>
                <w:tab w:val="left" w:pos="454"/>
                <w:tab w:val="left" w:pos="741"/>
              </w:tabs>
              <w:jc w:val="both"/>
              <w:rPr>
                <w:szCs w:val="24"/>
                <w:lang w:eastAsia="lt-LT"/>
              </w:rPr>
            </w:pPr>
            <w:r>
              <w:rPr>
                <w:szCs w:val="24"/>
                <w:lang w:eastAsia="lt-LT"/>
              </w:rPr>
              <w:t>1.1.12.</w:t>
            </w:r>
            <w:r>
              <w:rPr>
                <w:szCs w:val="24"/>
                <w:lang w:eastAsia="lt-LT"/>
              </w:rPr>
              <w:tab/>
              <w:t>Lietuvos Respublikos atsinaujinančių išteklių energetikos įstatymą;</w:t>
            </w:r>
          </w:p>
          <w:p w14:paraId="284923B5" w14:textId="77777777" w:rsidR="00485716" w:rsidRDefault="00273E27">
            <w:pPr>
              <w:tabs>
                <w:tab w:val="left" w:pos="171"/>
                <w:tab w:val="left" w:pos="313"/>
                <w:tab w:val="left" w:pos="454"/>
                <w:tab w:val="left" w:pos="741"/>
              </w:tabs>
              <w:jc w:val="both"/>
              <w:rPr>
                <w:szCs w:val="24"/>
              </w:rPr>
            </w:pPr>
            <w:r>
              <w:rPr>
                <w:szCs w:val="24"/>
              </w:rPr>
              <w:lastRenderedPageBreak/>
              <w:t>1.1.13.</w:t>
            </w:r>
            <w:r>
              <w:rPr>
                <w:szCs w:val="24"/>
              </w:rPr>
              <w:tab/>
              <w:t xml:space="preserve">Lietuvos transporto infrastruktūros plėtros iki 2030 m. planą, patvirtintą Lietuvos Respublikos susisiekimo ministro 2022 m. vasario 9 d. įsakymu Nr. 3-86 „Dėl Lietuvos transporto infrastruktūros plėtros iki 2030 m. plano patvirtinimo“; </w:t>
            </w:r>
          </w:p>
          <w:p w14:paraId="18EBA49B" w14:textId="77777777" w:rsidR="00485716" w:rsidRDefault="00273E27">
            <w:pPr>
              <w:tabs>
                <w:tab w:val="left" w:pos="741"/>
              </w:tabs>
              <w:jc w:val="both"/>
              <w:rPr>
                <w:szCs w:val="24"/>
              </w:rPr>
            </w:pPr>
            <w:r>
              <w:rPr>
                <w:szCs w:val="24"/>
              </w:rPr>
              <w:t>1.1.14.</w:t>
            </w:r>
            <w:r>
              <w:rPr>
                <w:szCs w:val="24"/>
              </w:rPr>
              <w:tab/>
              <w:t>2022–2030 metų plėtros programos valdytojos Lietuvos Respublikos susisiekimo ministerijos susisiekimo plėtros programą, patvirtintą Lietuvos Respublikos Vyriausybės 2022 m. kovo 16 d. nutarimu Nr. 245 „Dėl 2022–2030 metų plėtros programos valdytojos Lietuvos Respublikos susisiekimo ministerijos susisiekimo plėtros programos patvirtinimo“ (toliau – Susisiekimo plėtros programa);</w:t>
            </w:r>
          </w:p>
          <w:p w14:paraId="23169D96" w14:textId="77777777" w:rsidR="00485716" w:rsidRDefault="00273E27">
            <w:pPr>
              <w:tabs>
                <w:tab w:val="left" w:pos="741"/>
              </w:tabs>
              <w:jc w:val="both"/>
              <w:rPr>
                <w:szCs w:val="24"/>
              </w:rPr>
            </w:pPr>
            <w:r>
              <w:rPr>
                <w:szCs w:val="24"/>
              </w:rPr>
              <w:t>1.1.15.</w:t>
            </w:r>
            <w:r>
              <w:rPr>
                <w:szCs w:val="24"/>
              </w:rPr>
              <w:tab/>
              <w:t xml:space="preserve">Elektromobilių naudojimo ir elektromobilių įkrovimo infrastruktūros plėtros veiksmų planą, patvirtintą Lietuvos Respublikos energetikos ministro ir Lietuvos Respublikos susisiekimo ministro 2022 m. liepos 1 d. įsakymu Nr. 1-210/3-344 „Dėl Elektromobilių naudojimo ir elektromobilių įkrovimo infrastruktūros plėtros veiksmų plano patvirtinimo“ (toliau – Elektromobilių naudojimo ir elektromobilių įkrovimo infrastruktūros plėtros veiksmų planas); </w:t>
            </w:r>
          </w:p>
          <w:p w14:paraId="35A83DB6" w14:textId="77777777" w:rsidR="00485716" w:rsidRDefault="00273E27">
            <w:pPr>
              <w:tabs>
                <w:tab w:val="left" w:pos="741"/>
              </w:tabs>
              <w:jc w:val="both"/>
              <w:rPr>
                <w:szCs w:val="24"/>
              </w:rPr>
            </w:pPr>
            <w:r>
              <w:rPr>
                <w:szCs w:val="24"/>
              </w:rPr>
              <w:t>1.1.16.</w:t>
            </w:r>
            <w:r>
              <w:rPr>
                <w:szCs w:val="24"/>
              </w:rPr>
              <w:tab/>
              <w:t>Degalinių eksploatavimo taisykles, patvirtintas Lietuvos Respublikos energetikos ministro 2009 m. balandžio 16 d. įsakymu 1-37 „Dėl Degalinių įrengimo ir eksploatavimo taisyklių patvirtinimo“;</w:t>
            </w:r>
          </w:p>
          <w:p w14:paraId="12544E21" w14:textId="77777777" w:rsidR="00485716" w:rsidRDefault="00273E27">
            <w:pPr>
              <w:tabs>
                <w:tab w:val="left" w:pos="741"/>
              </w:tabs>
              <w:jc w:val="both"/>
              <w:rPr>
                <w:szCs w:val="24"/>
              </w:rPr>
            </w:pPr>
            <w:r>
              <w:rPr>
                <w:szCs w:val="24"/>
              </w:rPr>
              <w:t>1.1.17.</w:t>
            </w:r>
            <w:r>
              <w:rPr>
                <w:szCs w:val="24"/>
              </w:rPr>
              <w:tab/>
              <w:t>Lietuvos Respublikos statybos įstatymą;</w:t>
            </w:r>
          </w:p>
          <w:p w14:paraId="474607C1" w14:textId="77777777" w:rsidR="00485716" w:rsidRDefault="00273E27">
            <w:pPr>
              <w:tabs>
                <w:tab w:val="left" w:pos="741"/>
              </w:tabs>
              <w:jc w:val="both"/>
              <w:rPr>
                <w:szCs w:val="24"/>
              </w:rPr>
            </w:pPr>
            <w:r>
              <w:rPr>
                <w:szCs w:val="24"/>
              </w:rPr>
              <w:t>1.1.18.</w:t>
            </w:r>
            <w:r>
              <w:rPr>
                <w:szCs w:val="24"/>
              </w:rPr>
              <w:tab/>
              <w:t>Elektros įrenginių įrengimo bendrąsias taisykles, patvirtintas Lietuvos Respublikos energetikos ministro 2012 m. vasario 3 d. įsakymu Nr. 1-22 „Dėl Elektros įrenginių įregimo bendrųjų taisyklių patvirtinimo“;</w:t>
            </w:r>
          </w:p>
          <w:p w14:paraId="64A440B1" w14:textId="77777777" w:rsidR="00485716" w:rsidRDefault="00273E27">
            <w:pPr>
              <w:tabs>
                <w:tab w:val="left" w:pos="741"/>
              </w:tabs>
              <w:jc w:val="both"/>
              <w:rPr>
                <w:szCs w:val="24"/>
              </w:rPr>
            </w:pPr>
            <w:r>
              <w:rPr>
                <w:szCs w:val="24"/>
              </w:rPr>
              <w:t>1.1.19.</w:t>
            </w:r>
            <w:r>
              <w:rPr>
                <w:szCs w:val="24"/>
              </w:rPr>
              <w:tab/>
              <w:t>Elektrinių ir elektros tinklų eksploatavimo taisykles, patvirtintas Lietuvos Respublikos energetikos ministro 2012 m. spalio 29 d. įsakymu Nr. 1-211 „Dėl Elektrinių ir elektros tinklų eksploatavimo taisyklių patvirtinimo“;</w:t>
            </w:r>
          </w:p>
          <w:p w14:paraId="0C52AE61" w14:textId="77777777" w:rsidR="00485716" w:rsidRDefault="00273E27">
            <w:pPr>
              <w:tabs>
                <w:tab w:val="left" w:pos="741"/>
              </w:tabs>
              <w:jc w:val="both"/>
              <w:rPr>
                <w:szCs w:val="24"/>
              </w:rPr>
            </w:pPr>
            <w:r>
              <w:rPr>
                <w:szCs w:val="24"/>
              </w:rPr>
              <w:t>1.1.20.</w:t>
            </w:r>
            <w:r>
              <w:rPr>
                <w:szCs w:val="24"/>
              </w:rPr>
              <w:tab/>
              <w:t>Geodezijos ir kartografijos techninį reglamentą „GKTR 2.08.01:2000 Statybiniai inžineriniai geodeziniai tyrinėjimai“, patvirtintą Valstybinės geodezijos ir kartografijos tarnybos direktoriaus 2000 m. balandžio 12 d. įsakymu Nr. 28 „Dėl techninių reikalavimų reglamento GKTR 2.08.01:2000 patvirtinimo“;</w:t>
            </w:r>
          </w:p>
          <w:p w14:paraId="5AF87E2D" w14:textId="77777777" w:rsidR="00485716" w:rsidRDefault="00273E27">
            <w:pPr>
              <w:tabs>
                <w:tab w:val="left" w:pos="741"/>
              </w:tabs>
              <w:jc w:val="both"/>
              <w:rPr>
                <w:szCs w:val="24"/>
              </w:rPr>
            </w:pPr>
            <w:r>
              <w:rPr>
                <w:szCs w:val="24"/>
              </w:rPr>
              <w:t>1.1.21.</w:t>
            </w:r>
            <w:r>
              <w:rPr>
                <w:szCs w:val="24"/>
              </w:rPr>
              <w:tab/>
              <w:t>Kelių eismo taisykles, patvirtintas Lietuvos Respublikos Vyriausybės 2002 m. gruodžio 11 d. nutarimu Nr. 1950 „Dėl Kelių eismo taisyklių patvirtinimo“;</w:t>
            </w:r>
          </w:p>
          <w:p w14:paraId="0A0D745E" w14:textId="77777777" w:rsidR="00485716" w:rsidRDefault="00273E27">
            <w:pPr>
              <w:tabs>
                <w:tab w:val="left" w:pos="741"/>
              </w:tabs>
              <w:jc w:val="both"/>
              <w:rPr>
                <w:szCs w:val="24"/>
              </w:rPr>
            </w:pPr>
            <w:r>
              <w:rPr>
                <w:szCs w:val="24"/>
              </w:rPr>
              <w:t>1.1.22.</w:t>
            </w:r>
            <w:r>
              <w:rPr>
                <w:szCs w:val="24"/>
              </w:rPr>
              <w:tab/>
              <w:t xml:space="preserve">Elektromobilių įkrovimo stotelių registro valdymo veiklos vadovą ir proceso standartus, patvirtinus VĮ Lietuvos automobilių kelių direkcijos direktoriaus 2022 m. birželio 21 d. įsakymu Nr. VE-124 „Dėl Elektromobilių įkrovimo stotelių registro valdymo veiklos vadovo ir proceso standarto patvirtinimo“; </w:t>
            </w:r>
          </w:p>
          <w:p w14:paraId="413602D4" w14:textId="77777777" w:rsidR="00485716" w:rsidRDefault="00273E27">
            <w:pPr>
              <w:tabs>
                <w:tab w:val="left" w:pos="741"/>
              </w:tabs>
              <w:jc w:val="both"/>
              <w:rPr>
                <w:szCs w:val="24"/>
              </w:rPr>
            </w:pPr>
            <w:r>
              <w:rPr>
                <w:szCs w:val="24"/>
              </w:rPr>
              <w:t>1.1.23.</w:t>
            </w:r>
            <w:r>
              <w:rPr>
                <w:szCs w:val="24"/>
              </w:rPr>
              <w:tab/>
              <w:t>kelių techninį reglamentą KTR 1.01:2008 „Automobilių keliai“, patvirtintą Lietuvos Respublikos aplinkos ministro ir Lietuvos Respublikos susisiekimo ministro 2008 m. sausio 9 d. įsakymu Nr. D1-11/3-3 „Dėl kelių techninio reglamento KTR 1.01:2008 „Automobilių keliai“ patvirtinimo“;</w:t>
            </w:r>
          </w:p>
          <w:p w14:paraId="50176032" w14:textId="77777777" w:rsidR="00485716" w:rsidRDefault="00273E27">
            <w:pPr>
              <w:tabs>
                <w:tab w:val="left" w:pos="741"/>
              </w:tabs>
              <w:jc w:val="both"/>
              <w:rPr>
                <w:szCs w:val="24"/>
              </w:rPr>
            </w:pPr>
            <w:r>
              <w:rPr>
                <w:szCs w:val="24"/>
              </w:rPr>
              <w:t>1.1.24.</w:t>
            </w:r>
            <w:r>
              <w:rPr>
                <w:szCs w:val="24"/>
              </w:rPr>
              <w:tab/>
              <w:t>Lietuvos Respublikos kelių įstatymą;</w:t>
            </w:r>
          </w:p>
          <w:p w14:paraId="2BD24E8F" w14:textId="77777777" w:rsidR="00485716" w:rsidRDefault="00273E27">
            <w:pPr>
              <w:tabs>
                <w:tab w:val="left" w:pos="741"/>
              </w:tabs>
              <w:jc w:val="both"/>
              <w:rPr>
                <w:szCs w:val="24"/>
              </w:rPr>
            </w:pPr>
            <w:r>
              <w:rPr>
                <w:szCs w:val="24"/>
              </w:rPr>
              <w:t>1.1.25.</w:t>
            </w:r>
            <w:r>
              <w:rPr>
                <w:szCs w:val="24"/>
              </w:rPr>
              <w:tab/>
              <w:t>Lietuvos Respublikos specialiųjų žemės naudojimo sąlygų įstatymą;</w:t>
            </w:r>
          </w:p>
          <w:p w14:paraId="3E1C891C" w14:textId="77777777" w:rsidR="00485716" w:rsidRDefault="00273E27">
            <w:pPr>
              <w:tabs>
                <w:tab w:val="left" w:pos="741"/>
              </w:tabs>
              <w:jc w:val="both"/>
              <w:rPr>
                <w:szCs w:val="24"/>
              </w:rPr>
            </w:pPr>
            <w:r>
              <w:rPr>
                <w:szCs w:val="24"/>
              </w:rPr>
              <w:t>1.1.26.</w:t>
            </w:r>
            <w:r>
              <w:rPr>
                <w:szCs w:val="24"/>
              </w:rPr>
              <w:tab/>
              <w:t>2021–2027 metų Europos Sąjungos fondų investicijų programos ir Ekonomikos gaivinimo ir atsparumo didinimo plano „Naujos kartos Lietuva“ administravimo taisykles, patvirtintas Lietuvos Respublikos finansų ministro 2022 m. birželio 22 d. įsakymu Nr. 1K-237 „Dėl 2021–2027 metų Europos Sąjungos fondų investicijų programos ir Ekonomikos gaivinimo ir atsparumo didinimo plano „Naujos kartos Lietuva“ įgyvendinimo“;</w:t>
            </w:r>
          </w:p>
          <w:p w14:paraId="67C4C3BF" w14:textId="77777777" w:rsidR="00485716" w:rsidRDefault="00273E27">
            <w:pPr>
              <w:tabs>
                <w:tab w:val="left" w:pos="741"/>
              </w:tabs>
              <w:jc w:val="both"/>
              <w:rPr>
                <w:szCs w:val="24"/>
              </w:rPr>
            </w:pPr>
            <w:r>
              <w:rPr>
                <w:szCs w:val="24"/>
              </w:rPr>
              <w:t>1.1.27.</w:t>
            </w:r>
            <w:r>
              <w:rPr>
                <w:szCs w:val="24"/>
              </w:rPr>
              <w:tab/>
              <w:t>Projektų administravimo ir finansavimo taisykles, patvirtintas Lietuvos Respublikos finansų ministro 2022 m. birželio 22 d. įsakymu Nr. 1K-237 „Dėl 2021–2027 metų Europos Sąjungos fondų investicijų programos ir Ekonomikos gaivinimo ir atsparumo didinimo plano „Naujos kartos Lietuva“ įgyvendinimo“</w:t>
            </w:r>
            <w:r>
              <w:rPr>
                <w:szCs w:val="24"/>
                <w:shd w:val="clear" w:color="auto" w:fill="FFFFFF"/>
              </w:rPr>
              <w:t xml:space="preserve"> </w:t>
            </w:r>
            <w:r>
              <w:rPr>
                <w:szCs w:val="24"/>
              </w:rPr>
              <w:t>(toliau – Projektų taisyklės);</w:t>
            </w:r>
          </w:p>
          <w:p w14:paraId="029668A8" w14:textId="77777777" w:rsidR="00485716" w:rsidRDefault="00273E27">
            <w:pPr>
              <w:tabs>
                <w:tab w:val="left" w:pos="741"/>
              </w:tabs>
              <w:jc w:val="both"/>
              <w:rPr>
                <w:szCs w:val="24"/>
                <w:lang w:eastAsia="lt-LT"/>
              </w:rPr>
            </w:pPr>
            <w:r>
              <w:rPr>
                <w:szCs w:val="24"/>
                <w:lang w:eastAsia="lt-LT"/>
              </w:rPr>
              <w:t>1.1.28.</w:t>
            </w:r>
            <w:r>
              <w:rPr>
                <w:szCs w:val="24"/>
                <w:lang w:eastAsia="lt-LT"/>
              </w:rPr>
              <w:tab/>
            </w:r>
            <w:r>
              <w:rPr>
                <w:szCs w:val="24"/>
              </w:rPr>
              <w:t>Valstybinės reikšmės automobilių kelių sąrašą, patvirtintą Lietuvos Respublikos Vyriausybės 1999 m. birželio 9 d. nutarimu Nr. 757 „Dėl valstybinės reikšmės automobilių kelių sąrašo patvirtinimo“.</w:t>
            </w:r>
          </w:p>
          <w:p w14:paraId="5F39A895" w14:textId="77777777" w:rsidR="00485716" w:rsidRDefault="00273E27">
            <w:pPr>
              <w:tabs>
                <w:tab w:val="left" w:pos="376"/>
                <w:tab w:val="left" w:pos="741"/>
              </w:tabs>
              <w:jc w:val="both"/>
              <w:rPr>
                <w:szCs w:val="24"/>
              </w:rPr>
            </w:pPr>
            <w:r>
              <w:rPr>
                <w:szCs w:val="24"/>
              </w:rPr>
              <w:lastRenderedPageBreak/>
              <w:t>1.2.</w:t>
            </w:r>
            <w:r>
              <w:rPr>
                <w:szCs w:val="24"/>
              </w:rPr>
              <w:tab/>
              <w:t xml:space="preserve"> Apraše vartojamos sąvokos suprantamos taip, kaip jos apibrėžtos Aprašo 1.1 papunktyje nurodytuose teisės aktuose, Lietuvos Respublikos transporto veiklos pagrindų įstatyme, Lietuvos Respublikos strateginio valdymo įstatyme, Strateginio valdymo metodikoje, patvirtintoje Lietuvos Respublikos Vyriausybės 2021 m. balandžio 28 d. nutarimu Nr. 292 „Dėl Strateginio valdymo metodikos patvirtinimo“, ir Vadovaujančiosios, administruojančiosios ir audito institucijų funkcijų, įgyvendinant Ekonomikos gaivinimo ir atsparumo didinimo planą „Naujos kartos Lietuva“, paskirstymo taisyklėse, patvirtintose Lietuvos Respublikos Vyriausybės 2020 m. lapkričio 25 d. nutarimu Nr. 1322 „Dėl pasirengimo administruoti Europos Sąjungos lėšas ir jų administravimo“.</w:t>
            </w:r>
          </w:p>
        </w:tc>
      </w:tr>
      <w:tr w:rsidR="00485716" w14:paraId="3FD7DEA4" w14:textId="77777777">
        <w:tc>
          <w:tcPr>
            <w:tcW w:w="15021" w:type="dxa"/>
          </w:tcPr>
          <w:p w14:paraId="5CC655D6" w14:textId="77777777" w:rsidR="00485716" w:rsidRDefault="00273E27">
            <w:pPr>
              <w:rPr>
                <w:b/>
                <w:szCs w:val="24"/>
              </w:rPr>
            </w:pPr>
            <w:r>
              <w:rPr>
                <w:b/>
                <w:szCs w:val="24"/>
              </w:rPr>
              <w:lastRenderedPageBreak/>
              <w:t>2. Reikalavimai projektams, pareiškėjams ir partneriams</w:t>
            </w:r>
          </w:p>
        </w:tc>
      </w:tr>
      <w:tr w:rsidR="00485716" w14:paraId="63FA67C2" w14:textId="77777777">
        <w:tc>
          <w:tcPr>
            <w:tcW w:w="15021" w:type="dxa"/>
          </w:tcPr>
          <w:p w14:paraId="578502A2" w14:textId="77777777" w:rsidR="00485716" w:rsidRDefault="00273E27">
            <w:pPr>
              <w:jc w:val="both"/>
              <w:outlineLvl w:val="2"/>
              <w:rPr>
                <w:szCs w:val="24"/>
              </w:rPr>
            </w:pPr>
            <w:r>
              <w:rPr>
                <w:szCs w:val="24"/>
              </w:rPr>
              <w:t>2.1.</w:t>
            </w:r>
            <w:r>
              <w:rPr>
                <w:szCs w:val="24"/>
              </w:rPr>
              <w:tab/>
              <w:t xml:space="preserve"> Pagal Aprašą bus finansuojamas jungtinis projektas (toliau – JP).</w:t>
            </w:r>
          </w:p>
          <w:p w14:paraId="24C2DE84" w14:textId="77777777" w:rsidR="00485716" w:rsidRDefault="00273E27">
            <w:pPr>
              <w:jc w:val="both"/>
              <w:outlineLvl w:val="2"/>
              <w:rPr>
                <w:szCs w:val="24"/>
              </w:rPr>
            </w:pPr>
            <w:r>
              <w:rPr>
                <w:szCs w:val="24"/>
              </w:rPr>
              <w:t>2.2.</w:t>
            </w:r>
            <w:r>
              <w:rPr>
                <w:szCs w:val="24"/>
              </w:rPr>
              <w:tab/>
              <w:t xml:space="preserve"> Pagal Aprašą finansuojama veikla – viešai prieinamos elektromobilių įkrovimo infrastruktūros įrengimas ir plėtra (t. y. elektromobilių įkrovimo stotelių su viena ar daugiau įkrovimo prieigų (toliau – stotelės su prieiga (-</w:t>
            </w:r>
            <w:proofErr w:type="spellStart"/>
            <w:r>
              <w:rPr>
                <w:szCs w:val="24"/>
              </w:rPr>
              <w:t>omis</w:t>
            </w:r>
            <w:proofErr w:type="spellEnd"/>
            <w:r>
              <w:rPr>
                <w:szCs w:val="24"/>
              </w:rPr>
              <w:t xml:space="preserve">) įsigijimas, montavimas / įrengimas) darnaus judumo miestuose planų nerengusiose savivaldybėse (vietose, kurios nustatytos šių savivaldybių iki 2030 m. numatomų įrengti viešųjų ir pusiau viešųjų elektromobilių įkrovimo prieigų planuose, kurie skelbiami https://sumin.lrv.lt/lt/veiklos-sritys/darnus-judumas/elektromobilumas/savivaldybese-iki-2030-m-numatomos-irengti-viesosios-elektromobiliu-ikrovimo-infrastrukturos-planai) (JP projekto veiklos </w:t>
            </w:r>
            <w:proofErr w:type="spellStart"/>
            <w:r>
              <w:rPr>
                <w:szCs w:val="24"/>
              </w:rPr>
              <w:t>poveiklė</w:t>
            </w:r>
            <w:proofErr w:type="spellEnd"/>
            <w:r>
              <w:rPr>
                <w:szCs w:val="24"/>
              </w:rPr>
              <w:t xml:space="preserve"> turi būti įgyvendinama Akmenės, Alytaus, Anykščių, Biržų, Ignalinos, Joniškio, Jurbarko, Kaišiadorių, Kauno, Kelmės, Klaipėdos, Kretingos, Kupiškio, Lazdijų, Molėtų, Pakruojo, Panevėžio, Pasvalio, Plungės, Prienų, Radviliškio, Raseinių, Rokiškio, Skuodo, Šakių, Šalčininkų, Šiaulių, Šilalės, Šilutės, Širvintų, Švenčionių, Trakų, Ukmergės, Varėnos, Vilkaviškio, Vilniaus ir Zarasų rajonų bei Elektrėnų, Kalvarijos, Kazlų Rūdos, Pagėgių ir Rietavo savivaldybių teritorijose). </w:t>
            </w:r>
          </w:p>
          <w:p w14:paraId="62DF2360" w14:textId="77777777" w:rsidR="00485716" w:rsidRDefault="00273E27">
            <w:pPr>
              <w:jc w:val="both"/>
              <w:outlineLvl w:val="2"/>
              <w:rPr>
                <w:szCs w:val="24"/>
              </w:rPr>
            </w:pPr>
            <w:r>
              <w:rPr>
                <w:szCs w:val="24"/>
              </w:rPr>
              <w:t>2.3.</w:t>
            </w:r>
            <w:r>
              <w:rPr>
                <w:szCs w:val="24"/>
              </w:rPr>
              <w:tab/>
              <w:t xml:space="preserve"> Finansuojami JP vykdytojo atrinkti JP projektai.</w:t>
            </w:r>
          </w:p>
          <w:p w14:paraId="255D0746" w14:textId="77777777" w:rsidR="00485716" w:rsidRDefault="00273E27">
            <w:pPr>
              <w:jc w:val="both"/>
              <w:outlineLvl w:val="2"/>
              <w:rPr>
                <w:szCs w:val="24"/>
              </w:rPr>
            </w:pPr>
            <w:r>
              <w:rPr>
                <w:szCs w:val="24"/>
              </w:rPr>
              <w:t>2.4.</w:t>
            </w:r>
            <w:r>
              <w:rPr>
                <w:szCs w:val="24"/>
              </w:rPr>
              <w:tab/>
              <w:t xml:space="preserve"> JP vykdytojo atranka atliekama planavimo būdu.</w:t>
            </w:r>
          </w:p>
          <w:p w14:paraId="7CECC365" w14:textId="77777777" w:rsidR="00485716" w:rsidRDefault="00273E27">
            <w:pPr>
              <w:jc w:val="both"/>
              <w:outlineLvl w:val="2"/>
              <w:rPr>
                <w:szCs w:val="24"/>
              </w:rPr>
            </w:pPr>
            <w:r>
              <w:rPr>
                <w:szCs w:val="24"/>
              </w:rPr>
              <w:t>2.5.</w:t>
            </w:r>
            <w:r>
              <w:rPr>
                <w:szCs w:val="24"/>
              </w:rPr>
              <w:tab/>
              <w:t xml:space="preserve"> Galima JP vykdytoja – Lietuvos Respublikos aplinkos ministerijos Aplinkos projektų valdymo agentūra (toliau – JP vykdytojas).</w:t>
            </w:r>
          </w:p>
          <w:p w14:paraId="2210F806" w14:textId="77777777" w:rsidR="00485716" w:rsidRDefault="00273E27">
            <w:pPr>
              <w:jc w:val="both"/>
              <w:outlineLvl w:val="2"/>
              <w:rPr>
                <w:szCs w:val="24"/>
              </w:rPr>
            </w:pPr>
            <w:r>
              <w:rPr>
                <w:szCs w:val="24"/>
              </w:rPr>
              <w:t>2.6.</w:t>
            </w:r>
            <w:r>
              <w:rPr>
                <w:szCs w:val="24"/>
              </w:rPr>
              <w:tab/>
              <w:t xml:space="preserve"> Partneriai nėra galimi.</w:t>
            </w:r>
          </w:p>
          <w:p w14:paraId="0007BB40" w14:textId="77777777" w:rsidR="00485716" w:rsidRDefault="00273E27">
            <w:pPr>
              <w:jc w:val="both"/>
              <w:outlineLvl w:val="2"/>
              <w:rPr>
                <w:szCs w:val="24"/>
              </w:rPr>
            </w:pPr>
            <w:r>
              <w:rPr>
                <w:szCs w:val="24"/>
              </w:rPr>
              <w:t>2.7.</w:t>
            </w:r>
            <w:r>
              <w:rPr>
                <w:szCs w:val="24"/>
              </w:rPr>
              <w:tab/>
              <w:t xml:space="preserve"> JP veiklos įgyvendinimą administruoja viešoji įstaiga Centrinė projektų valdymo agentūra (toliau – Administruojančioji institucija).</w:t>
            </w:r>
          </w:p>
          <w:p w14:paraId="43A73B26" w14:textId="77777777" w:rsidR="00485716" w:rsidRDefault="00273E27">
            <w:pPr>
              <w:jc w:val="both"/>
              <w:outlineLvl w:val="2"/>
              <w:rPr>
                <w:szCs w:val="24"/>
              </w:rPr>
            </w:pPr>
            <w:r>
              <w:rPr>
                <w:szCs w:val="24"/>
              </w:rPr>
              <w:t>2.8.</w:t>
            </w:r>
            <w:r>
              <w:rPr>
                <w:szCs w:val="24"/>
              </w:rPr>
              <w:tab/>
              <w:t xml:space="preserve"> JP turi atitikti bendruosius atrankos kriterijus, išdėstytus Projektų taisyklių 2 priede (įskaitant Apraše nurodytus reikalavimus).</w:t>
            </w:r>
          </w:p>
          <w:p w14:paraId="019503CA" w14:textId="77777777" w:rsidR="00485716" w:rsidRDefault="00273E27">
            <w:pPr>
              <w:jc w:val="both"/>
              <w:outlineLvl w:val="2"/>
              <w:rPr>
                <w:sz w:val="20"/>
                <w:szCs w:val="24"/>
              </w:rPr>
            </w:pPr>
            <w:r>
              <w:rPr>
                <w:szCs w:val="24"/>
              </w:rPr>
              <w:t>2.9.</w:t>
            </w:r>
            <w:r>
              <w:rPr>
                <w:szCs w:val="24"/>
              </w:rPr>
              <w:tab/>
              <w:t xml:space="preserve"> JP turi būti siekiama įgyvendinti Susisiekimo plėtros programos pažangos priemonės „Skatinti alternatyviųjų degalų naudojimą transporto sektoriuje“ produkto rodiklį „Pradėjusios veikti viešosios ir pusiau viešosios įkrovimo prieigos ir labai didelės galios įkrovimo prieigos krovininiam transportui ir (arba) autobusams“ ir rezultato rodiklius „Alternatyviųjų degalų infrastruktūra (degalų papildymo punktai arba įkrovimo prieigos)“ ir „Paramą gavusios įmonės“. Produkto rodiklis laikomas pasiektu, kai JP projekto pareiškėjas pateikia JP vykdytojui elektromobilių įkrovimo stotelės su prieiga (-</w:t>
            </w:r>
            <w:proofErr w:type="spellStart"/>
            <w:r>
              <w:rPr>
                <w:szCs w:val="24"/>
              </w:rPr>
              <w:t>omis</w:t>
            </w:r>
            <w:proofErr w:type="spellEnd"/>
            <w:r>
              <w:rPr>
                <w:szCs w:val="24"/>
              </w:rPr>
              <w:t>) įrengimą bei perėmimą JP projekto pareiškėjo nuosavybėn pagrindžiančius dokumentus (PVM sąskaitą faktūrą / sąskaitą faktūrą, elektromobilių įkrovimo stotelės su prieiga įsigijimo ir (ar) montavimo / įrengimo perdavimo–priėmimo aktą, JP projekto vykdytojo deklaraciją ir (ar) kitus lygiaverčius, JP vykdytojo kvietime teikti paraiškas nustatytus dokumentus, elektromobilių įkrovimo stotelės su prieiga (-</w:t>
            </w:r>
            <w:proofErr w:type="spellStart"/>
            <w:r>
              <w:rPr>
                <w:szCs w:val="24"/>
              </w:rPr>
              <w:t>omis</w:t>
            </w:r>
            <w:proofErr w:type="spellEnd"/>
            <w:r>
              <w:rPr>
                <w:szCs w:val="24"/>
              </w:rPr>
              <w:t>) techninius duomenis patvirtinančius dokumentus (techninę specifikaciją ar lygiavertį dokumentą), kitus dokumentus, nurodytus Elektromobilių įkrovimo prieigų įrengimo išlaidų fiksuotųjų įkainių nustatymo tyrime (toliau – Tyrimas), skelbiamame Europos socialinio fondo agentūros interneto svetainėje: https://2021.esinvesticijos.lt/dokumentai/fi-35-01-fi-35-16-viesuju-elektromobiliu-ikrovimo-prieigu-irengimo-islaidu-fiksuotuju-vieneto-ikainiu-nustatymo-tyrimas, ir Apraše.</w:t>
            </w:r>
          </w:p>
          <w:p w14:paraId="4CBF1B79" w14:textId="77777777" w:rsidR="00485716" w:rsidRDefault="00273E27">
            <w:pPr>
              <w:jc w:val="both"/>
              <w:outlineLvl w:val="2"/>
              <w:rPr>
                <w:sz w:val="20"/>
                <w:szCs w:val="24"/>
              </w:rPr>
            </w:pPr>
            <w:r>
              <w:rPr>
                <w:szCs w:val="24"/>
              </w:rPr>
              <w:t>2.10.</w:t>
            </w:r>
            <w:r>
              <w:rPr>
                <w:szCs w:val="24"/>
              </w:rPr>
              <w:tab/>
              <w:t xml:space="preserve"> JP įgyvendinamas pagal projekto sutartyje, Apraše ir Projektų taisyklėse nustatytus reikalavimus.</w:t>
            </w:r>
          </w:p>
          <w:p w14:paraId="5A8DC88C" w14:textId="77777777" w:rsidR="00485716" w:rsidRDefault="00273E27">
            <w:pPr>
              <w:jc w:val="both"/>
              <w:outlineLvl w:val="2"/>
              <w:rPr>
                <w:szCs w:val="24"/>
              </w:rPr>
            </w:pPr>
            <w:r>
              <w:rPr>
                <w:szCs w:val="24"/>
              </w:rPr>
              <w:t>2.11.</w:t>
            </w:r>
            <w:r>
              <w:rPr>
                <w:szCs w:val="24"/>
              </w:rPr>
              <w:tab/>
              <w:t xml:space="preserve"> JP veikla įgyvendinama ne ilgiau kaip iki 2026 m. balandžio 30 </w:t>
            </w:r>
            <w:r>
              <w:rPr>
                <w:szCs w:val="24"/>
                <w:lang w:eastAsia="lt-LT"/>
              </w:rPr>
              <w:t xml:space="preserve">d. </w:t>
            </w:r>
          </w:p>
          <w:p w14:paraId="0C539521" w14:textId="77777777" w:rsidR="00485716" w:rsidRDefault="00273E27">
            <w:pPr>
              <w:jc w:val="both"/>
              <w:outlineLvl w:val="2"/>
              <w:rPr>
                <w:szCs w:val="24"/>
              </w:rPr>
            </w:pPr>
            <w:r>
              <w:rPr>
                <w:szCs w:val="24"/>
              </w:rPr>
              <w:lastRenderedPageBreak/>
              <w:t>2.12.</w:t>
            </w:r>
            <w:r>
              <w:rPr>
                <w:szCs w:val="24"/>
              </w:rPr>
              <w:tab/>
              <w:t xml:space="preserve"> Siekiant užtikrinti atitiktį Reglamento (ES) Nr. 651/2014 6 straipsnio nuostatoms, projekto veiklos gali būti pradėtos įgyvendinti tik pateikus (užregistravus) projekto įgyvendinimo planą (toliau – PĮP) Administruojančiajai institucijai, tačiau projekto išlaidos nuo PĮP registravimo dienos iki projekto sutarties pasirašymo yra patiriamos pareiškėjo rizika. Projektui, kurio veiklos pradėtos įgyvendinti iki PĮP registravimo dienos, finansavimas neskiriamas.</w:t>
            </w:r>
          </w:p>
          <w:p w14:paraId="7D8CC689" w14:textId="77777777" w:rsidR="00485716" w:rsidRDefault="00273E27">
            <w:pPr>
              <w:jc w:val="both"/>
              <w:outlineLvl w:val="2"/>
              <w:rPr>
                <w:szCs w:val="24"/>
              </w:rPr>
            </w:pPr>
            <w:r>
              <w:rPr>
                <w:szCs w:val="24"/>
              </w:rPr>
              <w:t>2.13.</w:t>
            </w:r>
            <w:r>
              <w:rPr>
                <w:szCs w:val="24"/>
              </w:rPr>
              <w:tab/>
              <w:t xml:space="preserve"> JP vykdytojas turi įgyvendinti privalomus matomumo ir informavimo reikalavimus, numatytus Projektų taisyklių VIII skyriaus pirmajame skirsnyje. Papildomai JP vykdytojas turi:</w:t>
            </w:r>
          </w:p>
          <w:p w14:paraId="1CA974C7" w14:textId="77777777" w:rsidR="00485716" w:rsidRDefault="00273E27">
            <w:pPr>
              <w:jc w:val="both"/>
              <w:outlineLvl w:val="2"/>
              <w:rPr>
                <w:szCs w:val="24"/>
              </w:rPr>
            </w:pPr>
            <w:r>
              <w:rPr>
                <w:szCs w:val="24"/>
              </w:rPr>
              <w:t>2.13.1.</w:t>
            </w:r>
            <w:r>
              <w:rPr>
                <w:szCs w:val="24"/>
              </w:rPr>
              <w:tab/>
              <w:t xml:space="preserve"> suorganizuoti ne mažiau kaip vieną renginį ir ne mažiau kaip vieną socialinę kampaniją per metus, apimančius potencialių pareiškėjų ir kitų tikslinių grupių švietimą teikiant mokomąją medžiagą;</w:t>
            </w:r>
          </w:p>
          <w:p w14:paraId="2BF1A546" w14:textId="77777777" w:rsidR="00485716" w:rsidRDefault="00273E27">
            <w:pPr>
              <w:jc w:val="both"/>
              <w:outlineLvl w:val="2"/>
              <w:rPr>
                <w:szCs w:val="24"/>
              </w:rPr>
            </w:pPr>
            <w:r>
              <w:rPr>
                <w:szCs w:val="24"/>
              </w:rPr>
              <w:t>2.13.2.</w:t>
            </w:r>
            <w:r>
              <w:rPr>
                <w:szCs w:val="24"/>
              </w:rPr>
              <w:tab/>
              <w:t xml:space="preserve"> užtikrinti potencialių pareiškėjų informavimą apie galimybę gauti finansavimą pagal JP ir finansavimo sąlygas, pasirenkant efektyvius informavimo kanalus (pvz., internetinė žiniasklaida, socialiniai tinklai, televizija, kita).</w:t>
            </w:r>
          </w:p>
          <w:p w14:paraId="705E43FF" w14:textId="77777777" w:rsidR="00485716" w:rsidRDefault="00273E27">
            <w:pPr>
              <w:ind w:left="360" w:hanging="360"/>
              <w:jc w:val="both"/>
              <w:outlineLvl w:val="2"/>
              <w:rPr>
                <w:szCs w:val="24"/>
              </w:rPr>
            </w:pPr>
            <w:r>
              <w:rPr>
                <w:szCs w:val="24"/>
              </w:rPr>
              <w:t>2.14.</w:t>
            </w:r>
            <w:r>
              <w:rPr>
                <w:szCs w:val="24"/>
              </w:rPr>
              <w:tab/>
              <w:t xml:space="preserve"> Taikomi JP parengtumo reikalavimai: </w:t>
            </w:r>
          </w:p>
          <w:p w14:paraId="6B63781C" w14:textId="77777777" w:rsidR="00485716" w:rsidRDefault="00273E27">
            <w:pPr>
              <w:ind w:left="32" w:hanging="3"/>
              <w:jc w:val="both"/>
              <w:outlineLvl w:val="2"/>
              <w:rPr>
                <w:szCs w:val="24"/>
              </w:rPr>
            </w:pPr>
            <w:r>
              <w:rPr>
                <w:szCs w:val="24"/>
              </w:rPr>
              <w:t>2.14.1.</w:t>
            </w:r>
            <w:r>
              <w:rPr>
                <w:szCs w:val="24"/>
              </w:rPr>
              <w:tab/>
              <w:t xml:space="preserve"> JP vykdytojas turi pateikti Susisiekimo ministerijai patvirtinto vidaus procedūrų aprašo, kuriame būtų numatyta Projektų taisyklėse JP vykdytojui numatytų funkcijų ir atsakomybių atlikimo tvarka, kopiją ir apie tai informuoti Administruojančiąją instituciją;</w:t>
            </w:r>
          </w:p>
          <w:p w14:paraId="6203A85B" w14:textId="77777777" w:rsidR="00485716" w:rsidRDefault="00273E27">
            <w:pPr>
              <w:ind w:left="32" w:hanging="3"/>
              <w:jc w:val="both"/>
              <w:outlineLvl w:val="2"/>
              <w:rPr>
                <w:szCs w:val="24"/>
              </w:rPr>
            </w:pPr>
            <w:r>
              <w:rPr>
                <w:szCs w:val="24"/>
              </w:rPr>
              <w:t>2.14.2.</w:t>
            </w:r>
            <w:r>
              <w:rPr>
                <w:szCs w:val="24"/>
              </w:rPr>
              <w:tab/>
              <w:t xml:space="preserve"> JP vykdytojas, teikdamas PĮP, Administruojančiai institucijai turi pateikti investicijų projektą kartu su investicijų skaičiuokle; investicijų projektas turi būti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skelbiama Centrinės projektų valdymo agentūros interneto svetainės www.cpva.lt skyriaus „Plėtros programų portfelio metodinės pagalbos centras“ srityje „Dokumentai“ .</w:t>
            </w:r>
          </w:p>
          <w:p w14:paraId="415E9156" w14:textId="77777777" w:rsidR="00485716" w:rsidRDefault="00273E27">
            <w:pPr>
              <w:ind w:left="360" w:hanging="360"/>
              <w:jc w:val="both"/>
              <w:outlineLvl w:val="2"/>
              <w:rPr>
                <w:szCs w:val="24"/>
              </w:rPr>
            </w:pPr>
            <w:r>
              <w:rPr>
                <w:szCs w:val="24"/>
              </w:rPr>
              <w:t>2.15.</w:t>
            </w:r>
            <w:r>
              <w:rPr>
                <w:szCs w:val="24"/>
              </w:rPr>
              <w:tab/>
              <w:t xml:space="preserve"> </w:t>
            </w:r>
            <w:r>
              <w:t>JP finansavimo apimtis – </w:t>
            </w:r>
            <w:r>
              <w:rPr>
                <w:szCs w:val="24"/>
              </w:rPr>
              <w:t>36</w:t>
            </w:r>
            <w:r>
              <w:t> 000 000,00 (</w:t>
            </w:r>
            <w:r>
              <w:rPr>
                <w:szCs w:val="24"/>
              </w:rPr>
              <w:t>trisdešimt šeši milijonai</w:t>
            </w:r>
            <w:r>
              <w:t xml:space="preserve">) eurų </w:t>
            </w:r>
            <w:r>
              <w:rPr>
                <w:szCs w:val="18"/>
              </w:rPr>
              <w:t>EGADP lėšų</w:t>
            </w:r>
            <w:r>
              <w:t xml:space="preserve"> </w:t>
            </w:r>
            <w:r>
              <w:rPr>
                <w:szCs w:val="18"/>
              </w:rPr>
              <w:t xml:space="preserve">kartu su JP administravimo ir informavimo išlaidomis. </w:t>
            </w:r>
          </w:p>
        </w:tc>
      </w:tr>
      <w:tr w:rsidR="00485716" w14:paraId="69E785C0" w14:textId="77777777">
        <w:tc>
          <w:tcPr>
            <w:tcW w:w="15021" w:type="dxa"/>
          </w:tcPr>
          <w:p w14:paraId="186B5D50" w14:textId="77777777" w:rsidR="00485716" w:rsidRDefault="00273E27">
            <w:pPr>
              <w:jc w:val="both"/>
              <w:rPr>
                <w:iCs/>
                <w:szCs w:val="24"/>
              </w:rPr>
            </w:pPr>
            <w:r>
              <w:rPr>
                <w:b/>
                <w:szCs w:val="24"/>
              </w:rPr>
              <w:lastRenderedPageBreak/>
              <w:t>3. Reikalavimai jungtinio projekto projektams ir jungtinio projekto projektų pareiškėjams</w:t>
            </w:r>
          </w:p>
        </w:tc>
      </w:tr>
      <w:tr w:rsidR="00485716" w14:paraId="133B9ABF" w14:textId="77777777">
        <w:trPr>
          <w:trHeight w:val="541"/>
        </w:trPr>
        <w:tc>
          <w:tcPr>
            <w:tcW w:w="15021" w:type="dxa"/>
          </w:tcPr>
          <w:p w14:paraId="7202FFB9" w14:textId="77777777" w:rsidR="00485716" w:rsidRDefault="00273E27">
            <w:pPr>
              <w:jc w:val="both"/>
              <w:rPr>
                <w:szCs w:val="24"/>
              </w:rPr>
            </w:pPr>
            <w:r>
              <w:rPr>
                <w:szCs w:val="24"/>
              </w:rPr>
              <w:t>3.1.</w:t>
            </w:r>
            <w:r>
              <w:rPr>
                <w:szCs w:val="24"/>
              </w:rPr>
              <w:tab/>
              <w:t xml:space="preserve"> Pagal Aprašą finansuojama JP projektų veikla – viešai prieinamos elektromobilių įkrovimo infrastruktūros įrengimas ir plėtra (t. y. elektromobilių įkrovimo stotelės su prieiga (-</w:t>
            </w:r>
            <w:proofErr w:type="spellStart"/>
            <w:r>
              <w:rPr>
                <w:szCs w:val="24"/>
              </w:rPr>
              <w:t>omis</w:t>
            </w:r>
            <w:proofErr w:type="spellEnd"/>
            <w:r>
              <w:rPr>
                <w:szCs w:val="24"/>
              </w:rPr>
              <w:t>) įsigijimas, montavimas / įrengimas).</w:t>
            </w:r>
          </w:p>
          <w:p w14:paraId="78194866" w14:textId="77777777" w:rsidR="00485716" w:rsidRDefault="00273E27">
            <w:pPr>
              <w:jc w:val="both"/>
              <w:rPr>
                <w:szCs w:val="24"/>
              </w:rPr>
            </w:pPr>
            <w:r>
              <w:rPr>
                <w:szCs w:val="24"/>
              </w:rPr>
              <w:t>3.2.</w:t>
            </w:r>
            <w:r>
              <w:rPr>
                <w:szCs w:val="24"/>
              </w:rPr>
              <w:tab/>
              <w:t xml:space="preserve"> JP projektų pareiškėjai – juridiniai asmenys, turintys teisę vykdyti ekonominę veiklą. </w:t>
            </w:r>
          </w:p>
          <w:p w14:paraId="7CFB7C58" w14:textId="77777777" w:rsidR="00485716" w:rsidRDefault="00273E27">
            <w:pPr>
              <w:jc w:val="both"/>
            </w:pPr>
            <w:r>
              <w:rPr>
                <w:szCs w:val="22"/>
              </w:rPr>
              <w:t>3.3.</w:t>
            </w:r>
            <w:r>
              <w:rPr>
                <w:szCs w:val="22"/>
              </w:rPr>
              <w:tab/>
            </w:r>
            <w:r>
              <w:rPr>
                <w:szCs w:val="24"/>
              </w:rPr>
              <w:t xml:space="preserve"> </w:t>
            </w:r>
            <w:r>
              <w:t>Kompensacijos dydis vienam pareiškėjui yra:</w:t>
            </w:r>
          </w:p>
          <w:p w14:paraId="56DE2F95" w14:textId="77777777" w:rsidR="00485716" w:rsidRDefault="00273E27">
            <w:pPr>
              <w:jc w:val="both"/>
            </w:pPr>
            <w:r>
              <w:rPr>
                <w:szCs w:val="22"/>
              </w:rPr>
              <w:t>3.3.1.</w:t>
            </w:r>
            <w:r>
              <w:rPr>
                <w:szCs w:val="22"/>
              </w:rPr>
              <w:tab/>
            </w:r>
            <w:r>
              <w:rPr>
                <w:szCs w:val="24"/>
              </w:rPr>
              <w:t xml:space="preserve"> </w:t>
            </w:r>
            <w:r>
              <w:t xml:space="preserve"> 25 proc. didelei įmonei</w:t>
            </w:r>
            <w:r>
              <w:rPr>
                <w:szCs w:val="24"/>
              </w:rPr>
              <w:t>, 45</w:t>
            </w:r>
            <w:r>
              <w:t xml:space="preserve"> proc. vidutinei įmonei</w:t>
            </w:r>
            <w:r>
              <w:rPr>
                <w:szCs w:val="24"/>
              </w:rPr>
              <w:t xml:space="preserve"> ir 55 proc. mažai įmonei</w:t>
            </w:r>
            <w:r>
              <w:t xml:space="preserve"> Aprašo 14.1 papunktyje nurodyto FĮ-35-01, </w:t>
            </w:r>
            <w:r>
              <w:rPr>
                <w:szCs w:val="24"/>
              </w:rPr>
              <w:t>FĮ-35-</w:t>
            </w:r>
            <w:r>
              <w:t xml:space="preserve">03, </w:t>
            </w:r>
            <w:r>
              <w:rPr>
                <w:szCs w:val="24"/>
              </w:rPr>
              <w:t>FĮ-35-</w:t>
            </w:r>
            <w:r>
              <w:t xml:space="preserve">05, </w:t>
            </w:r>
            <w:r>
              <w:rPr>
                <w:szCs w:val="24"/>
              </w:rPr>
              <w:t>FĮ-35-</w:t>
            </w:r>
            <w:r>
              <w:t xml:space="preserve">07, </w:t>
            </w:r>
            <w:r>
              <w:rPr>
                <w:szCs w:val="24"/>
              </w:rPr>
              <w:t>FĮ-35-</w:t>
            </w:r>
            <w:r>
              <w:t xml:space="preserve">09, </w:t>
            </w:r>
            <w:r>
              <w:rPr>
                <w:szCs w:val="24"/>
              </w:rPr>
              <w:t>FĮ-35-</w:t>
            </w:r>
            <w:r>
              <w:t xml:space="preserve">11, </w:t>
            </w:r>
            <w:r>
              <w:rPr>
                <w:szCs w:val="24"/>
              </w:rPr>
              <w:t>FĮ-35-</w:t>
            </w:r>
            <w:r>
              <w:t xml:space="preserve">13, </w:t>
            </w:r>
            <w:r>
              <w:rPr>
                <w:szCs w:val="24"/>
              </w:rPr>
              <w:t>FĮ-35-</w:t>
            </w:r>
            <w:r>
              <w:t>15 supaprastinto įkainio už kiekvieną įsigytą ir Sostinės regione įrengtą elektromobilių įkrovimo stotelę su prieiga (-</w:t>
            </w:r>
            <w:proofErr w:type="spellStart"/>
            <w:r>
              <w:t>omis</w:t>
            </w:r>
            <w:proofErr w:type="spellEnd"/>
            <w:r>
              <w:rPr>
                <w:szCs w:val="24"/>
              </w:rPr>
              <w:t>);</w:t>
            </w:r>
            <w:r>
              <w:t xml:space="preserve"> </w:t>
            </w:r>
          </w:p>
          <w:p w14:paraId="24D44B76" w14:textId="77777777" w:rsidR="00485716" w:rsidRDefault="00273E27">
            <w:pPr>
              <w:jc w:val="both"/>
              <w:textAlignment w:val="baseline"/>
            </w:pPr>
            <w:r>
              <w:rPr>
                <w:szCs w:val="22"/>
              </w:rPr>
              <w:t>3.3.2.</w:t>
            </w:r>
            <w:r>
              <w:rPr>
                <w:szCs w:val="22"/>
              </w:rPr>
              <w:tab/>
            </w:r>
            <w:r>
              <w:t xml:space="preserve"> </w:t>
            </w:r>
            <w:r>
              <w:rPr>
                <w:szCs w:val="24"/>
              </w:rPr>
              <w:t>35</w:t>
            </w:r>
            <w:r>
              <w:t xml:space="preserve"> proc. didelei įmonei</w:t>
            </w:r>
            <w:r>
              <w:rPr>
                <w:szCs w:val="24"/>
              </w:rPr>
              <w:t>, 55</w:t>
            </w:r>
            <w:r>
              <w:t xml:space="preserve"> proc. vidutinei įmonei</w:t>
            </w:r>
            <w:r>
              <w:rPr>
                <w:szCs w:val="24"/>
              </w:rPr>
              <w:t xml:space="preserve"> ir 60 proc. mažai įmonei</w:t>
            </w:r>
            <w:r>
              <w:t xml:space="preserve"> Aprašo 14.1 papunktyje nurodyto FĮ-35-01, </w:t>
            </w:r>
            <w:r>
              <w:rPr>
                <w:szCs w:val="24"/>
              </w:rPr>
              <w:t>FĮ-35-</w:t>
            </w:r>
            <w:r>
              <w:t xml:space="preserve">03, </w:t>
            </w:r>
            <w:r>
              <w:rPr>
                <w:szCs w:val="24"/>
              </w:rPr>
              <w:t>FĮ-35-</w:t>
            </w:r>
            <w:r>
              <w:t xml:space="preserve">05, </w:t>
            </w:r>
            <w:r>
              <w:rPr>
                <w:szCs w:val="24"/>
              </w:rPr>
              <w:t>FĮ-35-</w:t>
            </w:r>
            <w:r>
              <w:t xml:space="preserve">07, </w:t>
            </w:r>
            <w:r>
              <w:rPr>
                <w:szCs w:val="24"/>
              </w:rPr>
              <w:t>FĮ-35-</w:t>
            </w:r>
            <w:r>
              <w:t xml:space="preserve">09, </w:t>
            </w:r>
            <w:r>
              <w:rPr>
                <w:szCs w:val="24"/>
              </w:rPr>
              <w:t>FĮ-35-</w:t>
            </w:r>
            <w:r>
              <w:t xml:space="preserve">11, </w:t>
            </w:r>
            <w:r>
              <w:rPr>
                <w:szCs w:val="24"/>
              </w:rPr>
              <w:t>FĮ-35-</w:t>
            </w:r>
            <w:r>
              <w:t>13, FĮ-35-</w:t>
            </w:r>
            <w:r>
              <w:rPr>
                <w:szCs w:val="24"/>
              </w:rPr>
              <w:t>15</w:t>
            </w:r>
            <w:r>
              <w:t xml:space="preserve"> supaprastinto įkainio už kiekvieną įsigytą ir Vidurio ir vakarų Lietuvos regione įrengtą elektromobilių įkrovimo stotelę su prieiga (-</w:t>
            </w:r>
            <w:proofErr w:type="spellStart"/>
            <w:r>
              <w:t>omis</w:t>
            </w:r>
            <w:proofErr w:type="spellEnd"/>
            <w:r>
              <w:rPr>
                <w:szCs w:val="24"/>
              </w:rPr>
              <w:t>).</w:t>
            </w:r>
          </w:p>
          <w:p w14:paraId="7F5FA9A8" w14:textId="77777777" w:rsidR="00485716" w:rsidRDefault="00273E27">
            <w:pPr>
              <w:jc w:val="both"/>
              <w:textAlignment w:val="baseline"/>
              <w:rPr>
                <w:szCs w:val="24"/>
                <w:lang w:eastAsia="lt-LT"/>
              </w:rPr>
            </w:pPr>
            <w:r>
              <w:rPr>
                <w:szCs w:val="24"/>
                <w:lang w:eastAsia="lt-LT"/>
              </w:rPr>
              <w:t>3.4.</w:t>
            </w:r>
            <w:r>
              <w:rPr>
                <w:szCs w:val="24"/>
                <w:lang w:eastAsia="lt-LT"/>
              </w:rPr>
              <w:tab/>
            </w:r>
            <w:r>
              <w:rPr>
                <w:szCs w:val="24"/>
              </w:rPr>
              <w:t xml:space="preserve"> </w:t>
            </w:r>
            <w:r>
              <w:rPr>
                <w:szCs w:val="24"/>
                <w:lang w:eastAsia="lt-LT"/>
              </w:rPr>
              <w:t>Sąlygos kompensacijai gauti (m</w:t>
            </w:r>
            <w:r>
              <w:rPr>
                <w:szCs w:val="24"/>
              </w:rPr>
              <w:t>inimalūs techniniai elektromobilių įkrovimo stotelės su prieiga (-</w:t>
            </w:r>
            <w:proofErr w:type="spellStart"/>
            <w:r>
              <w:rPr>
                <w:szCs w:val="24"/>
              </w:rPr>
              <w:t>omis</w:t>
            </w:r>
            <w:proofErr w:type="spellEnd"/>
            <w:r>
              <w:rPr>
                <w:szCs w:val="24"/>
              </w:rPr>
              <w:t>) ir jos įrengimo reikalavimai):</w:t>
            </w:r>
          </w:p>
          <w:p w14:paraId="13FC904A" w14:textId="77777777" w:rsidR="00485716" w:rsidRDefault="00273E27">
            <w:pPr>
              <w:jc w:val="both"/>
              <w:textAlignment w:val="baseline"/>
              <w:rPr>
                <w:szCs w:val="24"/>
              </w:rPr>
            </w:pPr>
            <w:r>
              <w:rPr>
                <w:szCs w:val="24"/>
              </w:rPr>
              <w:t>3.4.1.</w:t>
            </w:r>
            <w:r>
              <w:rPr>
                <w:szCs w:val="24"/>
              </w:rPr>
              <w:tab/>
              <w:t xml:space="preserve"> Turi būti diegiama tik nauja ir anksčiau nenaudota įranga ir susiję komponentai:</w:t>
            </w:r>
          </w:p>
          <w:p w14:paraId="5B381CE8" w14:textId="77777777" w:rsidR="00485716" w:rsidRDefault="00273E27">
            <w:pPr>
              <w:jc w:val="both"/>
              <w:textAlignment w:val="baseline"/>
              <w:rPr>
                <w:szCs w:val="24"/>
              </w:rPr>
            </w:pPr>
            <w:r>
              <w:rPr>
                <w:szCs w:val="24"/>
              </w:rPr>
              <w:t>3.4.1.1.</w:t>
            </w:r>
            <w:r>
              <w:rPr>
                <w:szCs w:val="24"/>
              </w:rPr>
              <w:tab/>
              <w:t xml:space="preserve"> Pagal Aprašą finansuojamos elektromobilių įkrovimo prieigos gali būti: įprastos galios – elektromobiliui perduodama elektrinė galia turi būti ne mažesnė kaip 11 ir ne didesnė kaip 22 kW (toliau – įprastos galios prieiga);</w:t>
            </w:r>
          </w:p>
          <w:p w14:paraId="12B9C8B3" w14:textId="77777777" w:rsidR="00485716" w:rsidRDefault="00273E27">
            <w:pPr>
              <w:jc w:val="both"/>
              <w:textAlignment w:val="baseline"/>
              <w:rPr>
                <w:szCs w:val="24"/>
              </w:rPr>
            </w:pPr>
            <w:r>
              <w:rPr>
                <w:szCs w:val="24"/>
              </w:rPr>
              <w:t>3.4.1.2.</w:t>
            </w:r>
            <w:r>
              <w:rPr>
                <w:szCs w:val="24"/>
              </w:rPr>
              <w:tab/>
              <w:t xml:space="preserve"> vidutinės galios – elektromobiliui perduodama elektrinė galia yra didesnė kaip 22 kW, bet ne didesnė kaip 49 kW (toliau – vidutinės galios prieiga);</w:t>
            </w:r>
          </w:p>
          <w:p w14:paraId="7C553B63" w14:textId="77777777" w:rsidR="00485716" w:rsidRDefault="00273E27">
            <w:pPr>
              <w:jc w:val="both"/>
              <w:textAlignment w:val="baseline"/>
              <w:rPr>
                <w:szCs w:val="24"/>
              </w:rPr>
            </w:pPr>
            <w:r>
              <w:rPr>
                <w:szCs w:val="24"/>
              </w:rPr>
              <w:lastRenderedPageBreak/>
              <w:t>3.4.1.3.</w:t>
            </w:r>
            <w:r>
              <w:rPr>
                <w:szCs w:val="24"/>
              </w:rPr>
              <w:tab/>
              <w:t xml:space="preserve"> didelės galios – elektromobiliui perduodama elektrinė galia yra didesnė kaip 49 kW, bet ne didesnė kaip 149 kW (toliau – didelės galios prieiga);</w:t>
            </w:r>
          </w:p>
          <w:p w14:paraId="6CD4464A" w14:textId="77777777" w:rsidR="00485716" w:rsidRDefault="00273E27">
            <w:pPr>
              <w:jc w:val="both"/>
              <w:textAlignment w:val="baseline"/>
              <w:rPr>
                <w:szCs w:val="24"/>
              </w:rPr>
            </w:pPr>
            <w:r>
              <w:rPr>
                <w:szCs w:val="24"/>
              </w:rPr>
              <w:t>3.4.1.4.</w:t>
            </w:r>
            <w:r>
              <w:rPr>
                <w:szCs w:val="24"/>
              </w:rPr>
              <w:tab/>
              <w:t xml:space="preserve"> labai didelės galios – elektromobiliui perduodama elektrinė galia yra didesnė kaip 149 kW (toliau – labai didelės galios prieiga).</w:t>
            </w:r>
          </w:p>
          <w:p w14:paraId="26997281" w14:textId="77777777" w:rsidR="00485716" w:rsidRDefault="00273E27">
            <w:pPr>
              <w:jc w:val="both"/>
              <w:textAlignment w:val="baseline"/>
              <w:rPr>
                <w:szCs w:val="24"/>
              </w:rPr>
            </w:pPr>
            <w:r>
              <w:rPr>
                <w:szCs w:val="24"/>
              </w:rPr>
              <w:t>3.4.2.</w:t>
            </w:r>
            <w:r>
              <w:rPr>
                <w:szCs w:val="24"/>
              </w:rPr>
              <w:tab/>
              <w:t xml:space="preserve"> Elektromobilių įkrovimo stotelės su prieiga (-</w:t>
            </w:r>
            <w:proofErr w:type="spellStart"/>
            <w:r>
              <w:rPr>
                <w:szCs w:val="24"/>
              </w:rPr>
              <w:t>omis</w:t>
            </w:r>
            <w:proofErr w:type="spellEnd"/>
            <w:r>
              <w:rPr>
                <w:szCs w:val="24"/>
              </w:rPr>
              <w:t xml:space="preserve">) turi atitikti Elektromobilių įkrovimo prieigų prieinamumo specifikaciją PAS 1899:2022. </w:t>
            </w:r>
          </w:p>
          <w:p w14:paraId="67CA8ECF" w14:textId="77777777" w:rsidR="00485716" w:rsidRDefault="00273E27">
            <w:pPr>
              <w:jc w:val="both"/>
              <w:textAlignment w:val="baseline"/>
              <w:rPr>
                <w:szCs w:val="24"/>
              </w:rPr>
            </w:pPr>
            <w:r>
              <w:rPr>
                <w:szCs w:val="24"/>
              </w:rPr>
              <w:t>3.4.3.</w:t>
            </w:r>
            <w:r>
              <w:rPr>
                <w:szCs w:val="24"/>
              </w:rPr>
              <w:tab/>
              <w:t xml:space="preserve"> Kai elektromobilių įkrovimo stotelė turi kelias skirtingos galios elektromobilių įkrovimo prieigas, tokiai elektromobilių įkrovimo stotelei taikomi reikalavimai, skirti jos didžiausios galios elektromobilių įkrovimo prieigai.</w:t>
            </w:r>
          </w:p>
          <w:p w14:paraId="60D59422" w14:textId="77777777" w:rsidR="00485716" w:rsidRDefault="00273E27">
            <w:pPr>
              <w:jc w:val="both"/>
              <w:textAlignment w:val="baseline"/>
              <w:rPr>
                <w:szCs w:val="24"/>
              </w:rPr>
            </w:pPr>
            <w:r>
              <w:rPr>
                <w:szCs w:val="24"/>
              </w:rPr>
              <w:t>3.4.4.</w:t>
            </w:r>
            <w:r>
              <w:rPr>
                <w:szCs w:val="24"/>
              </w:rPr>
              <w:tab/>
              <w:t xml:space="preserve"> Vienos elektromobilių įkrovimo stotelės suminė galia apima visų joje esančių elektromobilių įkrovimo prieigų galią.</w:t>
            </w:r>
          </w:p>
          <w:p w14:paraId="7CA0BCA2" w14:textId="77777777" w:rsidR="00485716" w:rsidRDefault="00273E27">
            <w:pPr>
              <w:jc w:val="both"/>
              <w:textAlignment w:val="baseline"/>
              <w:rPr>
                <w:szCs w:val="24"/>
              </w:rPr>
            </w:pPr>
            <w:r>
              <w:rPr>
                <w:szCs w:val="24"/>
              </w:rPr>
              <w:t>3.4.5.</w:t>
            </w:r>
            <w:r>
              <w:rPr>
                <w:szCs w:val="24"/>
              </w:rPr>
              <w:tab/>
              <w:t xml:space="preserve"> 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Pr>
                <w:szCs w:val="24"/>
              </w:rPr>
              <w:t>sukeičiamumo</w:t>
            </w:r>
            <w:proofErr w:type="spellEnd"/>
            <w:r>
              <w:rPr>
                <w:szCs w:val="24"/>
              </w:rPr>
              <w:t>. Jungtis – fizinė įkrovimo prieigos ir elektrinės transporto priemonės sąsaja, per kurią keičiamasi elektros energija.</w:t>
            </w:r>
          </w:p>
          <w:p w14:paraId="3D717C5A" w14:textId="77777777" w:rsidR="00485716" w:rsidRDefault="00273E27">
            <w:pPr>
              <w:jc w:val="both"/>
              <w:textAlignment w:val="baseline"/>
              <w:rPr>
                <w:szCs w:val="24"/>
              </w:rPr>
            </w:pPr>
            <w:r>
              <w:rPr>
                <w:szCs w:val="24"/>
              </w:rPr>
              <w:t>3.4.6.</w:t>
            </w:r>
            <w:r>
              <w:rPr>
                <w:szCs w:val="24"/>
              </w:rPr>
              <w:tab/>
              <w:t xml:space="preserve"> Jei elektromobilių įkrovimo stotelė turi keletą jungčių (pvz., „Type 2“, „</w:t>
            </w:r>
            <w:proofErr w:type="spellStart"/>
            <w:r>
              <w:rPr>
                <w:szCs w:val="24"/>
              </w:rPr>
              <w:t>Combo</w:t>
            </w:r>
            <w:proofErr w:type="spellEnd"/>
            <w:r>
              <w:rPr>
                <w:szCs w:val="24"/>
              </w:rPr>
              <w:t xml:space="preserve"> 2“, „</w:t>
            </w:r>
            <w:proofErr w:type="spellStart"/>
            <w:r>
              <w:rPr>
                <w:szCs w:val="24"/>
              </w:rPr>
              <w:t>CHAdeMO</w:t>
            </w:r>
            <w:proofErr w:type="spellEnd"/>
            <w:r>
              <w:rPr>
                <w:szCs w:val="24"/>
              </w:rPr>
              <w:t>“ ir kt. jungtis), bent viena jų privalo atitikti patvirtintus Europos Sąjungos standartus:</w:t>
            </w:r>
          </w:p>
          <w:p w14:paraId="45BC58F2" w14:textId="77777777" w:rsidR="00485716" w:rsidRDefault="00273E27">
            <w:pPr>
              <w:jc w:val="both"/>
              <w:textAlignment w:val="baseline"/>
              <w:rPr>
                <w:szCs w:val="24"/>
              </w:rPr>
            </w:pPr>
            <w:r>
              <w:rPr>
                <w:szCs w:val="24"/>
              </w:rPr>
              <w:t>3.4.6.1.</w:t>
            </w:r>
            <w:r>
              <w:rPr>
                <w:szCs w:val="24"/>
              </w:rPr>
              <w:tab/>
              <w:t xml:space="preserve"> įprastos ir vidutinės galios prieigose turi būti įrengiamos 2 tipo („Type 2“) jungtys, atitinkančios standartą EN 62196-2:2017;</w:t>
            </w:r>
          </w:p>
          <w:p w14:paraId="65AD03FE" w14:textId="77777777" w:rsidR="00485716" w:rsidRDefault="00273E27">
            <w:pPr>
              <w:jc w:val="both"/>
              <w:textAlignment w:val="baseline"/>
              <w:rPr>
                <w:szCs w:val="24"/>
              </w:rPr>
            </w:pPr>
            <w:r>
              <w:rPr>
                <w:szCs w:val="24"/>
              </w:rPr>
              <w:t>3.4.6.2.</w:t>
            </w:r>
            <w:r>
              <w:rPr>
                <w:szCs w:val="24"/>
              </w:rPr>
              <w:tab/>
              <w:t xml:space="preserve"> didelės ir labai didelės galios prieigose turi būti įrengiamos „</w:t>
            </w:r>
            <w:proofErr w:type="spellStart"/>
            <w:r>
              <w:rPr>
                <w:szCs w:val="24"/>
              </w:rPr>
              <w:t>Combo</w:t>
            </w:r>
            <w:proofErr w:type="spellEnd"/>
            <w:r>
              <w:rPr>
                <w:szCs w:val="24"/>
              </w:rPr>
              <w:t xml:space="preserve"> 2“ jungtys, atitinkančios standartą EN 62196-3:2014.</w:t>
            </w:r>
          </w:p>
          <w:p w14:paraId="397F1D70" w14:textId="77777777" w:rsidR="00485716" w:rsidRDefault="00273E27">
            <w:pPr>
              <w:jc w:val="both"/>
              <w:textAlignment w:val="baseline"/>
              <w:rPr>
                <w:szCs w:val="24"/>
              </w:rPr>
            </w:pPr>
            <w:r>
              <w:rPr>
                <w:szCs w:val="24"/>
              </w:rPr>
              <w:t>3.4.7.</w:t>
            </w:r>
            <w:r>
              <w:rPr>
                <w:szCs w:val="24"/>
              </w:rPr>
              <w:tab/>
              <w:t xml:space="preserve"> Visose didelės ir itin didelės galios elektromobilių įkrovimo prieigose turi būti įrengtas stacionarus įkrovimo kabelis.</w:t>
            </w:r>
          </w:p>
          <w:p w14:paraId="5C991652" w14:textId="77777777" w:rsidR="00485716" w:rsidRDefault="00273E27">
            <w:pPr>
              <w:jc w:val="both"/>
              <w:textAlignment w:val="baseline"/>
              <w:rPr>
                <w:szCs w:val="24"/>
              </w:rPr>
            </w:pPr>
            <w:r>
              <w:rPr>
                <w:szCs w:val="24"/>
              </w:rPr>
              <w:t>3.4.8.</w:t>
            </w:r>
            <w:r>
              <w:rPr>
                <w:szCs w:val="24"/>
              </w:rPr>
              <w:tab/>
              <w:t xml:space="preserve"> Privalo būti sudarytos sąlygos įrengtoje elektromobilių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Pr>
                <w:i/>
                <w:iCs/>
                <w:szCs w:val="24"/>
              </w:rPr>
              <w:t>ad-hoc</w:t>
            </w:r>
            <w:proofErr w:type="spellEnd"/>
            <w:r>
              <w:rPr>
                <w:szCs w:val="24"/>
              </w:rPr>
              <w:t>), neturint išankstinių specialių identifikacinių kortelių ar kitų priemonių:</w:t>
            </w:r>
          </w:p>
          <w:p w14:paraId="77FA3050" w14:textId="77777777" w:rsidR="00485716" w:rsidRDefault="00273E27">
            <w:pPr>
              <w:jc w:val="both"/>
              <w:textAlignment w:val="baseline"/>
              <w:rPr>
                <w:szCs w:val="24"/>
              </w:rPr>
            </w:pPr>
            <w:r>
              <w:rPr>
                <w:szCs w:val="24"/>
              </w:rPr>
              <w:t>3.4.8.1.</w:t>
            </w:r>
            <w:r>
              <w:rPr>
                <w:szCs w:val="24"/>
              </w:rPr>
              <w:tab/>
              <w:t xml:space="preserve"> 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w:t>
            </w:r>
          </w:p>
          <w:p w14:paraId="541C55D0" w14:textId="77777777" w:rsidR="00485716" w:rsidRDefault="00273E27">
            <w:pPr>
              <w:jc w:val="both"/>
              <w:textAlignment w:val="baseline"/>
              <w:rPr>
                <w:szCs w:val="24"/>
              </w:rPr>
            </w:pPr>
            <w:r>
              <w:rPr>
                <w:szCs w:val="24"/>
              </w:rPr>
              <w:t>3.4.8.2.</w:t>
            </w:r>
            <w:r>
              <w:rPr>
                <w:szCs w:val="24"/>
              </w:rPr>
              <w:tab/>
              <w:t xml:space="preserve"> Elektromobilių įkrovimo stotelė su didelės ir (arba) labai didelės galios prieiga turi turėti mokėjimo kortelių skaitytuvus arba bekontaktę funkciją turinčius prietaisus, galinčius nuskaityti mokėjimo korteles. </w:t>
            </w:r>
          </w:p>
          <w:p w14:paraId="5E14E401" w14:textId="77777777" w:rsidR="00485716" w:rsidRDefault="00273E27">
            <w:pPr>
              <w:jc w:val="both"/>
              <w:textAlignment w:val="baseline"/>
              <w:rPr>
                <w:szCs w:val="24"/>
              </w:rPr>
            </w:pPr>
            <w:r>
              <w:rPr>
                <w:szCs w:val="24"/>
              </w:rPr>
              <w:t>3.4.8.3.</w:t>
            </w:r>
            <w:r>
              <w:rPr>
                <w:szCs w:val="24"/>
              </w:rPr>
              <w:tab/>
              <w:t xml:space="preserve"> Vienas Aprašo 3.4.8.1 arba 3.4.8.2 papunktyje nurodytas prietaisas gali būti skirtas ir kelioms elektromobilių įkrovimo prieigoms.</w:t>
            </w:r>
          </w:p>
          <w:p w14:paraId="627BD33A" w14:textId="77777777" w:rsidR="00485716" w:rsidRDefault="00273E27">
            <w:pPr>
              <w:jc w:val="both"/>
              <w:textAlignment w:val="baseline"/>
              <w:rPr>
                <w:szCs w:val="24"/>
              </w:rPr>
            </w:pPr>
            <w:r>
              <w:rPr>
                <w:szCs w:val="24"/>
              </w:rPr>
              <w:t>3.4.9.</w:t>
            </w:r>
            <w:r>
              <w:rPr>
                <w:szCs w:val="24"/>
              </w:rPr>
              <w:tab/>
              <w:t xml:space="preserve"> Elektromobilių įkrovimo prieigoje turi būti aiškiai pateikiama informacija apie </w:t>
            </w:r>
            <w:proofErr w:type="spellStart"/>
            <w:r>
              <w:rPr>
                <w:i/>
                <w:iCs/>
              </w:rPr>
              <w:t>ad</w:t>
            </w:r>
            <w:r>
              <w:rPr>
                <w:i/>
                <w:iCs/>
                <w:szCs w:val="24"/>
              </w:rPr>
              <w:t>-</w:t>
            </w:r>
            <w:r>
              <w:rPr>
                <w:i/>
                <w:iCs/>
              </w:rPr>
              <w:t>hoc</w:t>
            </w:r>
            <w:proofErr w:type="spellEnd"/>
            <w:r>
              <w:rPr>
                <w:szCs w:val="24"/>
              </w:rPr>
              <w:t xml:space="preserve"> įkrovimo kainą, kad galutiniams naudotojams ši informacija būtų žinoma prieš pradedant įkrovimo seansą. Ši informacija apie </w:t>
            </w:r>
            <w:proofErr w:type="spellStart"/>
            <w:r>
              <w:rPr>
                <w:i/>
                <w:iCs/>
                <w:szCs w:val="24"/>
              </w:rPr>
              <w:t>ad-</w:t>
            </w:r>
            <w:r>
              <w:rPr>
                <w:i/>
                <w:iCs/>
              </w:rPr>
              <w:t>hoc</w:t>
            </w:r>
            <w:proofErr w:type="spellEnd"/>
            <w:r>
              <w:rPr>
                <w:szCs w:val="24"/>
              </w:rPr>
              <w:t xml:space="preserve"> įkrovimo kainą turi apimti visas kainos dedamąsias, kurias operatorius taiko įkrovimo seanso kainai apskaičiuoti. </w:t>
            </w:r>
          </w:p>
          <w:p w14:paraId="4363423E" w14:textId="77777777" w:rsidR="00485716" w:rsidRDefault="00273E27">
            <w:pPr>
              <w:jc w:val="both"/>
              <w:textAlignment w:val="baseline"/>
              <w:rPr>
                <w:szCs w:val="24"/>
              </w:rPr>
            </w:pPr>
            <w:r>
              <w:rPr>
                <w:szCs w:val="24"/>
              </w:rPr>
              <w:t>3.4.10.</w:t>
            </w:r>
            <w:r>
              <w:rPr>
                <w:szCs w:val="24"/>
              </w:rPr>
              <w:tab/>
              <w:t xml:space="preserve"> Elektromobilių įkrovimo stotelė su prieiga turi turėti interneto ryšio prieigą (LAN, BT, 4G ar kt.).</w:t>
            </w:r>
          </w:p>
          <w:p w14:paraId="51F12D1F" w14:textId="77777777" w:rsidR="00485716" w:rsidRDefault="00273E27">
            <w:pPr>
              <w:jc w:val="both"/>
              <w:textAlignment w:val="baseline"/>
              <w:rPr>
                <w:szCs w:val="24"/>
              </w:rPr>
            </w:pPr>
            <w:r>
              <w:rPr>
                <w:szCs w:val="24"/>
              </w:rPr>
              <w:t>3.4.11.</w:t>
            </w:r>
            <w:r>
              <w:rPr>
                <w:szCs w:val="24"/>
              </w:rPr>
              <w:tab/>
              <w:t xml:space="preserve"> Elektromobilių įkrovimo prieigų operatorius privalo užtikrinti, kad visos jo eksploatuojamos viešai prieinamos įkrovimo prieigos yra skaitmeniniais ryšiais susietos elektromobilių įkrovimo prieigos.</w:t>
            </w:r>
          </w:p>
          <w:p w14:paraId="2C5CEDFB" w14:textId="77777777" w:rsidR="00485716" w:rsidRDefault="00273E27">
            <w:pPr>
              <w:jc w:val="both"/>
              <w:textAlignment w:val="baseline"/>
              <w:rPr>
                <w:szCs w:val="24"/>
              </w:rPr>
            </w:pPr>
            <w:r>
              <w:rPr>
                <w:szCs w:val="24"/>
              </w:rPr>
              <w:t>3.4.12.</w:t>
            </w:r>
            <w:r>
              <w:rPr>
                <w:szCs w:val="24"/>
              </w:rPr>
              <w:tab/>
              <w:t xml:space="preserve"> Visose įprastos galios elektromobilių įkrovimo prieigose turi būti galimas išmanusis įkrovimas, t. y. įkrovimo operacija, kai elektros energijos tiekimo baterijai intensyvumas koreguojamas dinamiškai pagal elektroniniu ryšiu gaunamą informaciją.</w:t>
            </w:r>
          </w:p>
          <w:p w14:paraId="0422895C" w14:textId="77777777" w:rsidR="00485716" w:rsidRDefault="00273E27">
            <w:pPr>
              <w:jc w:val="both"/>
              <w:textAlignment w:val="baseline"/>
              <w:rPr>
                <w:szCs w:val="24"/>
              </w:rPr>
            </w:pPr>
            <w:r>
              <w:rPr>
                <w:szCs w:val="24"/>
              </w:rPr>
              <w:t>3.4.13.</w:t>
            </w:r>
            <w:r>
              <w:rPr>
                <w:szCs w:val="24"/>
              </w:rPr>
              <w:tab/>
              <w:t xml:space="preserve"> Įrengiant elektromobilių įkrovimo stoteles su prieiga (-</w:t>
            </w:r>
            <w:proofErr w:type="spellStart"/>
            <w:r>
              <w:rPr>
                <w:szCs w:val="24"/>
              </w:rPr>
              <w:t>omis</w:t>
            </w:r>
            <w:proofErr w:type="spellEnd"/>
            <w:r>
              <w:rPr>
                <w:szCs w:val="24"/>
              </w:rPr>
              <w:t>) turi būti įrengiamos ir išmaniosios elektros energijos apskaitos sistemos, skirtos į tinklą perduotos elektros energijos kiekiui arba iš tinklo suvartotos elektros energijos kiekiui matuoti.</w:t>
            </w:r>
          </w:p>
          <w:p w14:paraId="3BFC335D" w14:textId="77777777" w:rsidR="00485716" w:rsidRDefault="00273E27">
            <w:pPr>
              <w:jc w:val="both"/>
              <w:textAlignment w:val="baseline"/>
              <w:rPr>
                <w:szCs w:val="24"/>
              </w:rPr>
            </w:pPr>
            <w:r>
              <w:rPr>
                <w:szCs w:val="24"/>
              </w:rPr>
              <w:t>3.4.14.</w:t>
            </w:r>
            <w:r>
              <w:rPr>
                <w:szCs w:val="24"/>
              </w:rPr>
              <w:tab/>
              <w:t xml:space="preserve"> 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554B3F51" w14:textId="77777777" w:rsidR="00485716" w:rsidRDefault="00273E27">
            <w:pPr>
              <w:jc w:val="both"/>
              <w:textAlignment w:val="baseline"/>
              <w:outlineLvl w:val="2"/>
              <w:rPr>
                <w:szCs w:val="24"/>
              </w:rPr>
            </w:pPr>
            <w:r>
              <w:rPr>
                <w:szCs w:val="24"/>
              </w:rPr>
              <w:lastRenderedPageBreak/>
              <w:t>3.4.14.1</w:t>
            </w:r>
            <w:r>
              <w:rPr>
                <w:szCs w:val="24"/>
              </w:rPr>
              <w:tab/>
              <w:t>. elektromobilių įkrovimo stotelė su prieiga (-</w:t>
            </w:r>
            <w:proofErr w:type="spellStart"/>
            <w:r>
              <w:rPr>
                <w:szCs w:val="24"/>
              </w:rPr>
              <w:t>omis</w:t>
            </w:r>
            <w:proofErr w:type="spellEnd"/>
            <w:r>
              <w:rPr>
                <w:szCs w:val="24"/>
              </w:rPr>
              <w:t xml:space="preserve">) turi būti pritaikyta teikti statinius (elektromobilių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Pr>
                <w:i/>
                <w:iCs/>
                <w:szCs w:val="24"/>
              </w:rPr>
              <w:t>ad</w:t>
            </w:r>
            <w:proofErr w:type="spellEnd"/>
            <w:r>
              <w:rPr>
                <w:i/>
                <w:iCs/>
                <w:szCs w:val="24"/>
              </w:rPr>
              <w:t xml:space="preserve"> </w:t>
            </w:r>
            <w:proofErr w:type="spellStart"/>
            <w:r>
              <w:rPr>
                <w:i/>
                <w:iCs/>
                <w:szCs w:val="24"/>
              </w:rPr>
              <w:t>hoc</w:t>
            </w:r>
            <w:proofErr w:type="spellEnd"/>
            <w:r>
              <w:rPr>
                <w:szCs w:val="24"/>
              </w:rPr>
              <w:t xml:space="preserve"> kaina);</w:t>
            </w:r>
          </w:p>
          <w:p w14:paraId="42C8D9AC" w14:textId="77777777" w:rsidR="00485716" w:rsidRDefault="00273E27">
            <w:pPr>
              <w:jc w:val="both"/>
              <w:textAlignment w:val="baseline"/>
              <w:outlineLvl w:val="2"/>
              <w:rPr>
                <w:szCs w:val="24"/>
              </w:rPr>
            </w:pPr>
            <w:r>
              <w:rPr>
                <w:szCs w:val="24"/>
              </w:rPr>
              <w:t>3.4.14.2</w:t>
            </w:r>
            <w:r>
              <w:rPr>
                <w:szCs w:val="24"/>
              </w:rPr>
              <w:tab/>
              <w:t xml:space="preserve">. IS operatoriai statinius ir dinaminius duomenis į IS modulį teikia automatizuotu būdu per atvirąjį elektromobilių įkrovimo prieigų protokolą (angl. </w:t>
            </w:r>
            <w:proofErr w:type="spellStart"/>
            <w:r>
              <w:rPr>
                <w:i/>
                <w:iCs/>
                <w:szCs w:val="24"/>
              </w:rPr>
              <w:t>Open</w:t>
            </w:r>
            <w:proofErr w:type="spellEnd"/>
            <w:r>
              <w:rPr>
                <w:i/>
                <w:iCs/>
                <w:szCs w:val="24"/>
              </w:rPr>
              <w:t xml:space="preserve"> </w:t>
            </w:r>
            <w:proofErr w:type="spellStart"/>
            <w:r>
              <w:rPr>
                <w:i/>
                <w:iCs/>
                <w:szCs w:val="24"/>
              </w:rPr>
              <w:t>Charge</w:t>
            </w:r>
            <w:proofErr w:type="spellEnd"/>
            <w:r>
              <w:rPr>
                <w:i/>
                <w:iCs/>
                <w:szCs w:val="24"/>
              </w:rPr>
              <w:t xml:space="preserve"> </w:t>
            </w:r>
            <w:proofErr w:type="spellStart"/>
            <w:r>
              <w:rPr>
                <w:i/>
                <w:iCs/>
                <w:szCs w:val="24"/>
              </w:rPr>
              <w:t>Point</w:t>
            </w:r>
            <w:proofErr w:type="spellEnd"/>
            <w:r>
              <w:rPr>
                <w:i/>
                <w:iCs/>
                <w:szCs w:val="24"/>
              </w:rPr>
              <w:t xml:space="preserve"> </w:t>
            </w:r>
            <w:proofErr w:type="spellStart"/>
            <w:r>
              <w:rPr>
                <w:i/>
                <w:iCs/>
                <w:szCs w:val="24"/>
              </w:rPr>
              <w:t>Protocol</w:t>
            </w:r>
            <w:proofErr w:type="spellEnd"/>
            <w:r>
              <w:rPr>
                <w:szCs w:val="24"/>
              </w:rPr>
              <w:t xml:space="preserve">) ne senesnį kaip 1.5 versijos, arba per atvirąjį elektromobilių įkrovos stotelių sąsajos protokolą (angl.  </w:t>
            </w:r>
            <w:proofErr w:type="spellStart"/>
            <w:r>
              <w:rPr>
                <w:szCs w:val="24"/>
              </w:rPr>
              <w:t>O</w:t>
            </w:r>
            <w:r>
              <w:rPr>
                <w:i/>
                <w:iCs/>
                <w:szCs w:val="24"/>
              </w:rPr>
              <w:t>pen</w:t>
            </w:r>
            <w:proofErr w:type="spellEnd"/>
            <w:r>
              <w:rPr>
                <w:i/>
                <w:iCs/>
                <w:szCs w:val="24"/>
              </w:rPr>
              <w:t xml:space="preserve"> </w:t>
            </w:r>
            <w:proofErr w:type="spellStart"/>
            <w:r>
              <w:rPr>
                <w:i/>
                <w:iCs/>
                <w:szCs w:val="24"/>
              </w:rPr>
              <w:t>Charge</w:t>
            </w:r>
            <w:proofErr w:type="spellEnd"/>
            <w:r>
              <w:rPr>
                <w:i/>
                <w:iCs/>
                <w:szCs w:val="24"/>
              </w:rPr>
              <w:t xml:space="preserve"> </w:t>
            </w:r>
            <w:proofErr w:type="spellStart"/>
            <w:r>
              <w:rPr>
                <w:i/>
                <w:iCs/>
                <w:szCs w:val="24"/>
              </w:rPr>
              <w:t>Point</w:t>
            </w:r>
            <w:proofErr w:type="spellEnd"/>
            <w:r>
              <w:rPr>
                <w:i/>
                <w:iCs/>
                <w:szCs w:val="24"/>
              </w:rPr>
              <w:t xml:space="preserve"> </w:t>
            </w:r>
            <w:proofErr w:type="spellStart"/>
            <w:r>
              <w:rPr>
                <w:i/>
                <w:iCs/>
                <w:szCs w:val="24"/>
              </w:rPr>
              <w:t>Interface</w:t>
            </w:r>
            <w:proofErr w:type="spellEnd"/>
            <w:r>
              <w:rPr>
                <w:i/>
                <w:iCs/>
                <w:szCs w:val="24"/>
              </w:rPr>
              <w:t xml:space="preserve"> </w:t>
            </w:r>
            <w:proofErr w:type="spellStart"/>
            <w:r>
              <w:rPr>
                <w:i/>
                <w:iCs/>
                <w:szCs w:val="24"/>
              </w:rPr>
              <w:t>Protocol</w:t>
            </w:r>
            <w:proofErr w:type="spellEnd"/>
            <w:r>
              <w:rPr>
                <w:szCs w:val="24"/>
              </w:rPr>
              <w:t>) ne senesnį kaip 2.2  versijos, arba kitu, su IS modulio valdytoju suderintu, protokolu.</w:t>
            </w:r>
          </w:p>
          <w:p w14:paraId="2E536DC2" w14:textId="77777777" w:rsidR="00485716" w:rsidRDefault="00273E27">
            <w:pPr>
              <w:jc w:val="both"/>
              <w:textAlignment w:val="baseline"/>
              <w:outlineLvl w:val="2"/>
              <w:rPr>
                <w:szCs w:val="24"/>
              </w:rPr>
            </w:pPr>
            <w:r>
              <w:rPr>
                <w:szCs w:val="24"/>
              </w:rPr>
              <w:t>3.4.15.</w:t>
            </w:r>
            <w:r>
              <w:rPr>
                <w:szCs w:val="24"/>
              </w:rPr>
              <w:tab/>
              <w:t xml:space="preserve"> Elektromobilių įkrovimo stotelė su prieiga turi būti įrengta visuomenei prieinamoje vietoje arba patalpose.</w:t>
            </w:r>
          </w:p>
          <w:p w14:paraId="51A66FE3" w14:textId="77777777" w:rsidR="00485716" w:rsidRDefault="00273E27">
            <w:pPr>
              <w:jc w:val="both"/>
              <w:textAlignment w:val="baseline"/>
              <w:outlineLvl w:val="2"/>
              <w:rPr>
                <w:szCs w:val="24"/>
              </w:rPr>
            </w:pPr>
            <w:r>
              <w:rPr>
                <w:szCs w:val="24"/>
              </w:rPr>
              <w:t>3.4.16.</w:t>
            </w:r>
            <w:r>
              <w:rPr>
                <w:szCs w:val="24"/>
              </w:rPr>
              <w:tab/>
              <w:t xml:space="preserve"> Elektromobilių įkrovimo stotelė su prieiga turi būti prieinama 24 valandas per parą, 7 dienas per savaitę arba kitu elektromobilių įkrovimo prieigos operatoriaus iš anksto nustatytu ir IS skelbiamu laiku. </w:t>
            </w:r>
          </w:p>
          <w:p w14:paraId="791F2B15" w14:textId="77777777" w:rsidR="00485716" w:rsidRDefault="00273E27">
            <w:pPr>
              <w:jc w:val="both"/>
              <w:textAlignment w:val="baseline"/>
              <w:outlineLvl w:val="2"/>
              <w:rPr>
                <w:szCs w:val="24"/>
              </w:rPr>
            </w:pPr>
            <w:r>
              <w:rPr>
                <w:szCs w:val="24"/>
              </w:rPr>
              <w:t>3.4.17.</w:t>
            </w:r>
            <w:r>
              <w:rPr>
                <w:szCs w:val="24"/>
              </w:rPr>
              <w:tab/>
              <w:t xml:space="preserve"> Elektromobilių įkrovimo prieiga turi būti tinkamai pažymėta kelio ženklais ir kelio ženklinimu.</w:t>
            </w:r>
          </w:p>
          <w:p w14:paraId="3BC4B9BE" w14:textId="77777777" w:rsidR="00485716" w:rsidRDefault="00273E27">
            <w:pPr>
              <w:jc w:val="both"/>
              <w:textAlignment w:val="baseline"/>
              <w:outlineLvl w:val="2"/>
              <w:rPr>
                <w:szCs w:val="24"/>
              </w:rPr>
            </w:pPr>
            <w:r>
              <w:rPr>
                <w:szCs w:val="24"/>
              </w:rPr>
              <w:t>3.4.18.</w:t>
            </w:r>
            <w:r>
              <w:rPr>
                <w:szCs w:val="24"/>
              </w:rPr>
              <w:tab/>
              <w:t xml:space="preserve"> JP projekto pareiškėjas turi užtikrinti, kad visa sukurta viešai prieinama elektromobilių įkrovimo infrastruktūra būtų įrengta taikant universalaus dizaino reikalavimus ir pritaikyta naudotis visų visuomenės grupių atstovams:</w:t>
            </w:r>
          </w:p>
          <w:p w14:paraId="05168445" w14:textId="77777777" w:rsidR="00485716" w:rsidRDefault="00273E27">
            <w:pPr>
              <w:ind w:left="27"/>
              <w:jc w:val="both"/>
              <w:textAlignment w:val="baseline"/>
              <w:outlineLvl w:val="2"/>
              <w:rPr>
                <w:szCs w:val="24"/>
              </w:rPr>
            </w:pPr>
            <w:r>
              <w:rPr>
                <w:szCs w:val="24"/>
              </w:rPr>
              <w:t>3.4.18.1.</w:t>
            </w:r>
            <w:r>
              <w:rPr>
                <w:szCs w:val="24"/>
              </w:rPr>
              <w:tab/>
              <w:t xml:space="preserve"> elektromobilių įkrovimo stotelė su prieiga (-</w:t>
            </w:r>
            <w:proofErr w:type="spellStart"/>
            <w:r>
              <w:rPr>
                <w:szCs w:val="24"/>
              </w:rPr>
              <w:t>omis</w:t>
            </w:r>
            <w:proofErr w:type="spellEnd"/>
            <w:r>
              <w:rPr>
                <w:szCs w:val="24"/>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4BDD012A" w14:textId="77777777" w:rsidR="00485716" w:rsidRDefault="00273E27">
            <w:pPr>
              <w:jc w:val="both"/>
              <w:textAlignment w:val="baseline"/>
              <w:outlineLvl w:val="2"/>
              <w:rPr>
                <w:szCs w:val="24"/>
              </w:rPr>
            </w:pPr>
            <w:r>
              <w:rPr>
                <w:szCs w:val="24"/>
              </w:rPr>
              <w:t>3.4.18.2.</w:t>
            </w:r>
            <w:r>
              <w:rPr>
                <w:szCs w:val="24"/>
              </w:rPr>
              <w:tab/>
              <w:t xml:space="preserve"> elektromobilių įkrovimo prieigos turi būti apšviestos, saugumo sumetimais prie jų gali būti montuojamos vaizdo stebėjimo kameros;</w:t>
            </w:r>
          </w:p>
          <w:p w14:paraId="788287A3" w14:textId="77777777" w:rsidR="00485716" w:rsidRDefault="00273E27">
            <w:pPr>
              <w:jc w:val="both"/>
              <w:textAlignment w:val="baseline"/>
              <w:outlineLvl w:val="2"/>
              <w:rPr>
                <w:szCs w:val="24"/>
              </w:rPr>
            </w:pPr>
            <w:r>
              <w:rPr>
                <w:szCs w:val="24"/>
              </w:rPr>
              <w:t>3.4.18.3.</w:t>
            </w:r>
            <w:r>
              <w:rPr>
                <w:szCs w:val="24"/>
              </w:rPr>
              <w:tab/>
              <w:t xml:space="preserve"> elektromobilio statymo vietoje turi būti iš visų pusių palikta pakankamai vietos aplink elektromobilį išlipimui, specialios paskirties vežimėlio iškėlimui ir netrukdomam keliui nuo elektromobilio iki elektromobilio įkrovimo stotelės (taip pat specialios paskirties vežimėlio apsisukimui prie elektromobilių įkrovimo stotelės ir elektromobilio įkrovimo įjungimui / išjungimui); išlipimui </w:t>
            </w:r>
            <w:r>
              <w:rPr>
                <w:strike/>
                <w:szCs w:val="24"/>
              </w:rPr>
              <w:t>įrengti</w:t>
            </w:r>
            <w:r>
              <w:rPr>
                <w:szCs w:val="24"/>
              </w:rPr>
              <w:t xml:space="preserve"> turi būti paliktas ne mažesnis kaip 1 m pločio tarpas;</w:t>
            </w:r>
          </w:p>
          <w:p w14:paraId="429A812F" w14:textId="77777777" w:rsidR="00485716" w:rsidRDefault="00273E27">
            <w:pPr>
              <w:jc w:val="both"/>
              <w:textAlignment w:val="baseline"/>
              <w:outlineLvl w:val="2"/>
              <w:rPr>
                <w:szCs w:val="24"/>
              </w:rPr>
            </w:pPr>
            <w:r>
              <w:rPr>
                <w:szCs w:val="24"/>
              </w:rPr>
              <w:t>3.4.18.4.</w:t>
            </w:r>
            <w:r>
              <w:rPr>
                <w:szCs w:val="24"/>
              </w:rPr>
              <w:tab/>
              <w:t xml:space="preserve"> elektromobilio įkrovimo stotelė su prieiga (-</w:t>
            </w:r>
            <w:proofErr w:type="spellStart"/>
            <w:r>
              <w:rPr>
                <w:szCs w:val="24"/>
              </w:rPr>
              <w:t>omis</w:t>
            </w:r>
            <w:proofErr w:type="spellEnd"/>
            <w:r>
              <w:rPr>
                <w:szCs w:val="24"/>
              </w:rPr>
              <w:t>) turi būti lengvai prieinama / privažiuojama (negali būti įrengiama bordiūrų, įkrovimo jungčių kabelių ant žemės ar kitų įrenginių, ribosiančių priėjimą arba privažiavimą specialios paskirties vežimėliu);</w:t>
            </w:r>
          </w:p>
          <w:p w14:paraId="3C5AC36A" w14:textId="77777777" w:rsidR="00485716" w:rsidRDefault="00273E27">
            <w:pPr>
              <w:jc w:val="both"/>
              <w:textAlignment w:val="baseline"/>
              <w:outlineLvl w:val="2"/>
              <w:rPr>
                <w:szCs w:val="24"/>
              </w:rPr>
            </w:pPr>
            <w:r>
              <w:rPr>
                <w:szCs w:val="24"/>
              </w:rPr>
              <w:t>3.4.18.5.</w:t>
            </w:r>
            <w:r>
              <w:rPr>
                <w:szCs w:val="24"/>
              </w:rPr>
              <w:tab/>
              <w:t xml:space="preserve"> elektromobilio įkrovimo stotelė su prieiga (-</w:t>
            </w:r>
            <w:proofErr w:type="spellStart"/>
            <w:r>
              <w:rPr>
                <w:szCs w:val="24"/>
              </w:rPr>
              <w:t>omis</w:t>
            </w:r>
            <w:proofErr w:type="spellEnd"/>
            <w:r>
              <w:rPr>
                <w:szCs w:val="24"/>
              </w:rPr>
              <w:t>)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01077D19" w14:textId="77777777" w:rsidR="00485716" w:rsidRDefault="00273E27">
            <w:pPr>
              <w:jc w:val="both"/>
              <w:textAlignment w:val="baseline"/>
              <w:outlineLvl w:val="2"/>
              <w:rPr>
                <w:szCs w:val="24"/>
              </w:rPr>
            </w:pPr>
            <w:r>
              <w:rPr>
                <w:szCs w:val="24"/>
              </w:rPr>
              <w:t>3.4.18.6.</w:t>
            </w:r>
            <w:r>
              <w:rPr>
                <w:szCs w:val="24"/>
              </w:rPr>
              <w:tab/>
              <w:t xml:space="preserve"> elektromobilio įkrovimo stotelės ekranas turi būti aiškiai matomas (ne aukščiau kaip 1,2 m) esant bet kokio tipo apšvietimui, taip pat suprantamas (pvz., negalias dėl spalvų atskyrimo turintiems asmenims) elektromobilių naudotojams;</w:t>
            </w:r>
          </w:p>
          <w:p w14:paraId="1756D56B" w14:textId="77777777" w:rsidR="00485716" w:rsidRDefault="00273E27">
            <w:pPr>
              <w:jc w:val="both"/>
              <w:textAlignment w:val="baseline"/>
              <w:outlineLvl w:val="2"/>
              <w:rPr>
                <w:szCs w:val="24"/>
              </w:rPr>
            </w:pPr>
            <w:r>
              <w:rPr>
                <w:szCs w:val="24"/>
              </w:rPr>
              <w:t>3.4.18.7.</w:t>
            </w:r>
            <w:r>
              <w:rPr>
                <w:szCs w:val="24"/>
              </w:rPr>
              <w:tab/>
              <w:t xml:space="preserve"> gali būti įrengiamos elektromobilių indukcinio statinio belaidžio įkrovimo prieigos ir prieigos, pritaikytos automatizuotoms elektromobilių įkrovimo paslaugoms; </w:t>
            </w:r>
          </w:p>
          <w:p w14:paraId="79461939" w14:textId="77777777" w:rsidR="00485716" w:rsidRDefault="00273E27">
            <w:pPr>
              <w:jc w:val="both"/>
              <w:textAlignment w:val="baseline"/>
              <w:outlineLvl w:val="2"/>
              <w:rPr>
                <w:szCs w:val="24"/>
              </w:rPr>
            </w:pPr>
            <w:r>
              <w:rPr>
                <w:szCs w:val="24"/>
              </w:rPr>
              <w:t>3.4.18.8.</w:t>
            </w:r>
            <w:r>
              <w:rPr>
                <w:szCs w:val="24"/>
              </w:rPr>
              <w:tab/>
              <w:t xml:space="preserve"> gali būti įrengiamos nuo kritulių dengtos elektromobilių įkrovimo vietos, šalia vietų, kurios tinkamos palaukti, turi tualetus, galimybę įsigyti maisto ir gėrimų, atsisėsti.</w:t>
            </w:r>
          </w:p>
          <w:p w14:paraId="1142A39F" w14:textId="77777777" w:rsidR="00485716" w:rsidRDefault="00273E27">
            <w:pPr>
              <w:jc w:val="both"/>
              <w:textAlignment w:val="baseline"/>
              <w:outlineLvl w:val="2"/>
              <w:rPr>
                <w:szCs w:val="24"/>
              </w:rPr>
            </w:pPr>
            <w:r>
              <w:rPr>
                <w:szCs w:val="24"/>
              </w:rPr>
              <w:t>3.4.19.</w:t>
            </w:r>
            <w:r>
              <w:rPr>
                <w:szCs w:val="24"/>
              </w:rPr>
              <w:tab/>
              <w:t xml:space="preserve"> Elektromobilių įkrovimo stotelė su prieiga (-</w:t>
            </w:r>
            <w:proofErr w:type="spellStart"/>
            <w:r>
              <w:rPr>
                <w:szCs w:val="24"/>
              </w:rPr>
              <w:t>omis</w:t>
            </w:r>
            <w:proofErr w:type="spellEnd"/>
            <w:r>
              <w:rPr>
                <w:szCs w:val="24"/>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448BC907" w14:textId="77777777" w:rsidR="00485716" w:rsidRDefault="00273E27">
            <w:pPr>
              <w:jc w:val="both"/>
              <w:textAlignment w:val="baseline"/>
              <w:outlineLvl w:val="2"/>
              <w:rPr>
                <w:szCs w:val="24"/>
              </w:rPr>
            </w:pPr>
            <w:r>
              <w:rPr>
                <w:szCs w:val="24"/>
              </w:rPr>
              <w:lastRenderedPageBreak/>
              <w:t>3.4.20.</w:t>
            </w:r>
            <w:r>
              <w:rPr>
                <w:szCs w:val="24"/>
              </w:rPr>
              <w:tab/>
              <w:t xml:space="preserve"> Elektromobilių įkrovimo prieigų operatoriai, siekiantys teikti elektromobilių įkrovimo paslaugas elektromobilių įkrovimo stotelėse Projektų taisyklių 248.2 papunktyje nurodytą laikotarpį (5 metus), skirtą investicijų tęstinumui garantuoti, jei jie nėra pagal JP projektą laikomi JP projekto pareiškėjais, turi būti atrenkami konkurencingos procedūros būdu.</w:t>
            </w:r>
          </w:p>
          <w:p w14:paraId="41ABE936" w14:textId="77777777" w:rsidR="00485716" w:rsidRDefault="00273E27">
            <w:pPr>
              <w:jc w:val="both"/>
              <w:textAlignment w:val="baseline"/>
              <w:outlineLvl w:val="2"/>
              <w:rPr>
                <w:szCs w:val="24"/>
              </w:rPr>
            </w:pPr>
            <w:r>
              <w:rPr>
                <w:szCs w:val="24"/>
              </w:rPr>
              <w:t>3.4.21.</w:t>
            </w:r>
            <w:r>
              <w:rPr>
                <w:szCs w:val="24"/>
              </w:rPr>
              <w:tab/>
              <w:t xml:space="preserve"> Elektromobilių įkrovimo prieigų</w:t>
            </w:r>
            <w:r>
              <w:rPr>
                <w:color w:val="000000"/>
                <w:szCs w:val="24"/>
                <w:shd w:val="clear" w:color="auto" w:fill="FFFFFF"/>
              </w:rPr>
              <w:t xml:space="preserve"> operatoriai, kurie savo infrastruktūroje siūlo arba leidžia sutartimis pagrįstus mokėjimus, turi nediskriminuoti judumo paslaugų teikėjų, pavyzdžiui, taikydami lengvatines prieigos sąlygas arba be objektyvaus pagrindo diferencijuodami kainas (</w:t>
            </w:r>
            <w:r>
              <w:rPr>
                <w:szCs w:val="24"/>
                <w:lang w:eastAsia="lt-LT"/>
              </w:rPr>
              <w:t>R</w:t>
            </w:r>
            <w:r>
              <w:rPr>
                <w:szCs w:val="24"/>
              </w:rPr>
              <w:t>eglamento (ES) Nr. 651/2014 36a straipsnio 9 dalis)</w:t>
            </w:r>
            <w:r>
              <w:rPr>
                <w:color w:val="000000"/>
                <w:szCs w:val="24"/>
                <w:shd w:val="clear" w:color="auto" w:fill="FFFFFF"/>
              </w:rPr>
              <w:t>.</w:t>
            </w:r>
          </w:p>
          <w:p w14:paraId="7B1E8405" w14:textId="77777777" w:rsidR="00485716" w:rsidRDefault="00273E27">
            <w:pPr>
              <w:jc w:val="both"/>
              <w:textAlignment w:val="baseline"/>
              <w:outlineLvl w:val="2"/>
              <w:rPr>
                <w:szCs w:val="24"/>
              </w:rPr>
            </w:pPr>
            <w:r>
              <w:rPr>
                <w:szCs w:val="24"/>
              </w:rPr>
              <w:t>3.4.22.</w:t>
            </w:r>
            <w:r>
              <w:rPr>
                <w:szCs w:val="24"/>
              </w:rPr>
              <w:tab/>
              <w:t xml:space="preserve"> Ant elektromobilių įkrovimo stotelės turi būti nurodytas kontaktas (specialus mygtukas arba telefono numeris) informacijai dėl elektromobilių įkrovimo stotelės (prieigos) gedimo pranešti arba pagalbai dėl įkrovimo paslaugos gauti. </w:t>
            </w:r>
          </w:p>
          <w:p w14:paraId="5CBBB7FD" w14:textId="77777777" w:rsidR="00485716" w:rsidRDefault="00273E27">
            <w:pPr>
              <w:jc w:val="both"/>
              <w:textAlignment w:val="baseline"/>
              <w:outlineLvl w:val="2"/>
              <w:rPr>
                <w:szCs w:val="24"/>
              </w:rPr>
            </w:pPr>
            <w:r>
              <w:rPr>
                <w:szCs w:val="24"/>
              </w:rPr>
              <w:t>3.4.23.</w:t>
            </w:r>
            <w:r>
              <w:rPr>
                <w:szCs w:val="24"/>
              </w:rPr>
              <w:tab/>
              <w:t xml:space="preserve"> Įrengiant elektromobilių įkrovimo stotelę su prieiga (-</w:t>
            </w:r>
            <w:proofErr w:type="spellStart"/>
            <w:r>
              <w:rPr>
                <w:szCs w:val="24"/>
              </w:rPr>
              <w:t>omis</w:t>
            </w:r>
            <w:proofErr w:type="spellEnd"/>
            <w:r>
              <w:rPr>
                <w:szCs w:val="24"/>
              </w:rPr>
              <w:t xml:space="preserve">) lauke arba atvirose vietose be sienų ar stogo, įrengiamos elektromobilių įkrovimo prieigos turi atitikti ne žemesnę kaip IP-54 atsparumo dulkėms ir drėgmei klasę. </w:t>
            </w:r>
          </w:p>
          <w:p w14:paraId="288E4EA3" w14:textId="77777777" w:rsidR="00485716" w:rsidRDefault="00273E27">
            <w:pPr>
              <w:jc w:val="both"/>
              <w:textAlignment w:val="baseline"/>
              <w:outlineLvl w:val="2"/>
              <w:rPr>
                <w:szCs w:val="24"/>
              </w:rPr>
            </w:pPr>
            <w:r>
              <w:rPr>
                <w:szCs w:val="24"/>
              </w:rPr>
              <w:t>3.4.24.</w:t>
            </w:r>
            <w:r>
              <w:rPr>
                <w:szCs w:val="24"/>
              </w:rPr>
              <w:tab/>
              <w:t xml:space="preserve"> Įrengiant elektromobilių įkrovimo stotelę su prieiga (-</w:t>
            </w:r>
            <w:proofErr w:type="spellStart"/>
            <w:r>
              <w:rPr>
                <w:szCs w:val="24"/>
              </w:rPr>
              <w:t>omis</w:t>
            </w:r>
            <w:proofErr w:type="spellEnd"/>
            <w:r>
              <w:rPr>
                <w:szCs w:val="24"/>
              </w:rPr>
              <w:t>), kuri nėra montuojama (-</w:t>
            </w:r>
            <w:proofErr w:type="spellStart"/>
            <w:r>
              <w:rPr>
                <w:szCs w:val="24"/>
              </w:rPr>
              <w:t>os</w:t>
            </w:r>
            <w:proofErr w:type="spellEnd"/>
            <w:r>
              <w:rPr>
                <w:szCs w:val="24"/>
              </w:rPr>
              <w:t>) ant sienos, o yra statoma (-</w:t>
            </w:r>
            <w:proofErr w:type="spellStart"/>
            <w:r>
              <w:rPr>
                <w:szCs w:val="24"/>
              </w:rPr>
              <w:t>os</w:t>
            </w:r>
            <w:proofErr w:type="spellEnd"/>
            <w:r>
              <w:rPr>
                <w:szCs w:val="24"/>
              </w:rPr>
              <w:t>) ant žemės, prieigos turi atitikti ne žemesnę kaip IK-10 atsparumo smūgiams klasę.</w:t>
            </w:r>
          </w:p>
          <w:p w14:paraId="766B8200" w14:textId="77777777" w:rsidR="00485716" w:rsidRDefault="00273E27">
            <w:pPr>
              <w:jc w:val="both"/>
              <w:textAlignment w:val="baseline"/>
              <w:outlineLvl w:val="2"/>
              <w:rPr>
                <w:szCs w:val="24"/>
              </w:rPr>
            </w:pPr>
            <w:r>
              <w:rPr>
                <w:szCs w:val="24"/>
              </w:rPr>
              <w:t>3.4.25.</w:t>
            </w:r>
            <w:r>
              <w:rPr>
                <w:szCs w:val="24"/>
              </w:rPr>
              <w:tab/>
              <w:t xml:space="preserve"> Elektromobilių įkrovimo stotelė su prieiga (-</w:t>
            </w:r>
            <w:proofErr w:type="spellStart"/>
            <w:r>
              <w:rPr>
                <w:szCs w:val="24"/>
              </w:rPr>
              <w:t>omis</w:t>
            </w:r>
            <w:proofErr w:type="spellEnd"/>
            <w:r>
              <w:rPr>
                <w:szCs w:val="24"/>
              </w:rPr>
              <w:t>) turi turėti ne trumpesnę kaip 24 mėnesių gamyklinę įrangos garantiją.</w:t>
            </w:r>
          </w:p>
          <w:p w14:paraId="15674273" w14:textId="77777777" w:rsidR="00485716" w:rsidRDefault="00273E27">
            <w:pPr>
              <w:jc w:val="both"/>
              <w:textAlignment w:val="baseline"/>
              <w:outlineLvl w:val="2"/>
              <w:rPr>
                <w:szCs w:val="24"/>
              </w:rPr>
            </w:pPr>
            <w:r>
              <w:rPr>
                <w:szCs w:val="24"/>
              </w:rPr>
              <w:t>3.4.26.</w:t>
            </w:r>
            <w:r>
              <w:rPr>
                <w:szCs w:val="24"/>
              </w:rPr>
              <w:tab/>
              <w:t xml:space="preserve"> Elektromobilių įkrovimo stotelės montavimo darbus turi atlikti asmuo, turintis Valstybinės energetikos reguliavimo tarybos išduotą elektros įrenginių įrengimo atestatą.</w:t>
            </w:r>
          </w:p>
          <w:p w14:paraId="356CE06A" w14:textId="77777777" w:rsidR="00485716" w:rsidRDefault="00273E27">
            <w:pPr>
              <w:jc w:val="both"/>
              <w:textAlignment w:val="baseline"/>
              <w:outlineLvl w:val="2"/>
              <w:rPr>
                <w:szCs w:val="24"/>
              </w:rPr>
            </w:pPr>
            <w:r>
              <w:rPr>
                <w:szCs w:val="24"/>
              </w:rPr>
              <w:t>3.4.27.</w:t>
            </w:r>
            <w:r>
              <w:rPr>
                <w:szCs w:val="24"/>
              </w:rPr>
              <w:tab/>
              <w:t xml:space="preserve"> JP projekto pareiškėjas apie planuojamos elektromobilių įkrovimo stotelės su prieiga (-</w:t>
            </w:r>
            <w:proofErr w:type="spellStart"/>
            <w:r>
              <w:rPr>
                <w:szCs w:val="24"/>
              </w:rPr>
              <w:t>omis</w:t>
            </w:r>
            <w:proofErr w:type="spellEnd"/>
            <w:r>
              <w:rPr>
                <w:szCs w:val="24"/>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2CEA038C" w14:textId="77777777" w:rsidR="00485716" w:rsidRDefault="00273E27">
            <w:pPr>
              <w:jc w:val="both"/>
              <w:textAlignment w:val="baseline"/>
              <w:outlineLvl w:val="2"/>
              <w:rPr>
                <w:szCs w:val="24"/>
              </w:rPr>
            </w:pPr>
            <w:r>
              <w:rPr>
                <w:szCs w:val="24"/>
              </w:rPr>
              <w:t>3.4.28.</w:t>
            </w:r>
            <w:r>
              <w:rPr>
                <w:szCs w:val="24"/>
              </w:rPr>
              <w:tab/>
              <w:t xml:space="preserve"> Jei įrengiamas atskiras elektros įvadas, JP projekto pareiškėjas turi per 12 mėnesių nuo ESO išduotų techninių prijungimo sąlygų pasirašyti su elektros operatoriumi elektros prijungimo sutartį ir sumokėti elektros prijungimo įmoką.</w:t>
            </w:r>
          </w:p>
          <w:p w14:paraId="2896DED0" w14:textId="77777777" w:rsidR="00485716" w:rsidRDefault="00273E27">
            <w:pPr>
              <w:jc w:val="both"/>
              <w:textAlignment w:val="baseline"/>
              <w:outlineLvl w:val="2"/>
              <w:rPr>
                <w:szCs w:val="24"/>
              </w:rPr>
            </w:pPr>
            <w:r>
              <w:rPr>
                <w:szCs w:val="24"/>
              </w:rPr>
              <w:t>3.4.29.</w:t>
            </w:r>
            <w:r>
              <w:rPr>
                <w:szCs w:val="24"/>
              </w:rPr>
              <w:tab/>
              <w:t xml:space="preserve"> Visos elektromobilių įkrovimo stotelės su prieigomis turi būti įrengtos darnaus judumo miestuose planų nerengusių savivaldybių vietose, kurios nustatytos šių savivaldybių iki 2030 m. numatomų įrengti viešųjų ir pusiau viešųjų elektromobilių įkrovimo prieigų planuose, ir atitikti ne mažesnius, nei nustatyta plane, įkrovimo prieigų skaičiaus ir galios reikalavimus.</w:t>
            </w:r>
          </w:p>
          <w:p w14:paraId="3EEE99F2" w14:textId="77777777" w:rsidR="00485716" w:rsidRDefault="00273E27">
            <w:pPr>
              <w:jc w:val="both"/>
              <w:textAlignment w:val="baseline"/>
              <w:outlineLvl w:val="2"/>
              <w:rPr>
                <w:szCs w:val="24"/>
              </w:rPr>
            </w:pPr>
            <w:r>
              <w:rPr>
                <w:szCs w:val="24"/>
              </w:rPr>
              <w:t>3.4.30.</w:t>
            </w:r>
            <w:r>
              <w:rPr>
                <w:szCs w:val="24"/>
              </w:rPr>
              <w:tab/>
              <w:t xml:space="preserve"> Visos elektromobilių įkrovimo stotelės su prieigomis turi būti įrengtos JP projekto pareiškėjo valdomame nekilnojamojo turto objekte.</w:t>
            </w:r>
          </w:p>
          <w:p w14:paraId="62949E39" w14:textId="77777777" w:rsidR="00485716" w:rsidRDefault="00273E27">
            <w:pPr>
              <w:ind w:left="720" w:hanging="720"/>
              <w:jc w:val="both"/>
              <w:textAlignment w:val="baseline"/>
              <w:outlineLvl w:val="2"/>
              <w:rPr>
                <w:szCs w:val="24"/>
              </w:rPr>
            </w:pPr>
            <w:r>
              <w:rPr>
                <w:szCs w:val="24"/>
              </w:rPr>
              <w:t>3.4.31.</w:t>
            </w:r>
            <w:r>
              <w:rPr>
                <w:szCs w:val="24"/>
              </w:rPr>
              <w:tab/>
              <w:t>Finansavimas neteikiamas JP projektams, vykdomiems ne Lietuvos Respublikos teritorijoje.</w:t>
            </w:r>
          </w:p>
          <w:p w14:paraId="7A86CB38" w14:textId="77777777" w:rsidR="00485716" w:rsidRDefault="00273E27">
            <w:pPr>
              <w:ind w:left="360" w:hanging="360"/>
              <w:jc w:val="both"/>
              <w:textAlignment w:val="baseline"/>
              <w:outlineLvl w:val="2"/>
              <w:rPr>
                <w:szCs w:val="24"/>
              </w:rPr>
            </w:pPr>
            <w:r>
              <w:rPr>
                <w:szCs w:val="24"/>
              </w:rPr>
              <w:t>3.5.</w:t>
            </w:r>
            <w:r>
              <w:rPr>
                <w:szCs w:val="24"/>
              </w:rPr>
              <w:tab/>
              <w:t xml:space="preserve"> JP projektų atranka vykdoma kaip tęstinė projektų atranka.</w:t>
            </w:r>
          </w:p>
          <w:p w14:paraId="202F0D5F" w14:textId="77777777" w:rsidR="00485716" w:rsidRDefault="00273E27">
            <w:pPr>
              <w:jc w:val="both"/>
              <w:rPr>
                <w:szCs w:val="24"/>
              </w:rPr>
            </w:pPr>
            <w:r>
              <w:rPr>
                <w:szCs w:val="24"/>
              </w:rPr>
              <w:t>3.6.</w:t>
            </w:r>
            <w:r>
              <w:rPr>
                <w:szCs w:val="24"/>
              </w:rPr>
              <w:tab/>
              <w:t xml:space="preserve"> Kvietimus teikti JP projektų paraiškas rengia JP vykdytojas, kvietimai skelbiami svetainėje www.esinvesticijos.lt ir JP vykdytojo internetinėje svetainėje (www.apva.lt).</w:t>
            </w:r>
          </w:p>
          <w:p w14:paraId="4820A9E3" w14:textId="77777777" w:rsidR="00485716" w:rsidRDefault="00273E27">
            <w:pPr>
              <w:jc w:val="both"/>
              <w:rPr>
                <w:szCs w:val="24"/>
              </w:rPr>
            </w:pPr>
            <w:r>
              <w:rPr>
                <w:szCs w:val="24"/>
              </w:rPr>
              <w:t>3.7.</w:t>
            </w:r>
            <w:r>
              <w:rPr>
                <w:szCs w:val="24"/>
              </w:rPr>
              <w:tab/>
              <w:t xml:space="preserve"> Kvietimas teikti paraiškas baigiamas anksčiau, nei nustatytas terminas kvietime teikti paraiškas, jeigu pagal priimtus sprendimus dėl JP projektų finansavimo ir 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w:t>
            </w:r>
          </w:p>
          <w:p w14:paraId="28224208" w14:textId="77777777" w:rsidR="00485716" w:rsidRDefault="00273E27">
            <w:pPr>
              <w:jc w:val="both"/>
              <w:rPr>
                <w:szCs w:val="24"/>
              </w:rPr>
            </w:pPr>
            <w:r>
              <w:rPr>
                <w:szCs w:val="24"/>
              </w:rPr>
              <w:t>3.8.</w:t>
            </w:r>
            <w:r>
              <w:rPr>
                <w:szCs w:val="24"/>
              </w:rPr>
              <w:tab/>
              <w:t xml:space="preserve"> JP projektų paraiškos teikiamos, vertinamos ir atrenkamos vadovaujantis Projektų taisyklių III skyriaus antrajame skirsnyje, kvietime teikti paraiškas nustatyta tvarka.</w:t>
            </w:r>
          </w:p>
          <w:p w14:paraId="454BFB35" w14:textId="77777777" w:rsidR="00485716" w:rsidRDefault="00273E27">
            <w:pPr>
              <w:jc w:val="both"/>
            </w:pPr>
            <w:r>
              <w:rPr>
                <w:szCs w:val="22"/>
              </w:rPr>
              <w:t>3.9.</w:t>
            </w:r>
            <w:r>
              <w:rPr>
                <w:szCs w:val="22"/>
              </w:rPr>
              <w:tab/>
            </w:r>
            <w:r>
              <w:rPr>
                <w:szCs w:val="24"/>
              </w:rPr>
              <w:t xml:space="preserve"> </w:t>
            </w:r>
            <w:r>
              <w:t xml:space="preserve">Vienam JP projekto pareiškėjui (vienam juridiniam asmeniui) suteikta dotacija neviršija </w:t>
            </w:r>
            <w:r>
              <w:rPr>
                <w:szCs w:val="24"/>
              </w:rPr>
              <w:t>9</w:t>
            </w:r>
            <w:r>
              <w:t xml:space="preserve"> 000 000 (</w:t>
            </w:r>
            <w:r>
              <w:rPr>
                <w:szCs w:val="24"/>
              </w:rPr>
              <w:t>devyni milijonai</w:t>
            </w:r>
            <w:r>
              <w:t>) eurų.</w:t>
            </w:r>
          </w:p>
          <w:p w14:paraId="0EF0F2FA" w14:textId="77777777" w:rsidR="00485716" w:rsidRDefault="00273E27">
            <w:pPr>
              <w:jc w:val="both"/>
              <w:rPr>
                <w:szCs w:val="24"/>
              </w:rPr>
            </w:pPr>
            <w:r>
              <w:rPr>
                <w:szCs w:val="24"/>
              </w:rPr>
              <w:t>3.10.</w:t>
            </w:r>
            <w:r>
              <w:rPr>
                <w:szCs w:val="24"/>
              </w:rPr>
              <w:tab/>
              <w:t xml:space="preserve"> Vienoje JP projekto paraiškoje nėra ribojamas elektromobilių įkrovimo stotelių su prieiga (-</w:t>
            </w:r>
            <w:proofErr w:type="spellStart"/>
            <w:r>
              <w:rPr>
                <w:szCs w:val="24"/>
              </w:rPr>
              <w:t>omis</w:t>
            </w:r>
            <w:proofErr w:type="spellEnd"/>
            <w:r>
              <w:rPr>
                <w:szCs w:val="24"/>
              </w:rPr>
              <w:t>) skaičius viename nekilnojamojo turto objekte.</w:t>
            </w:r>
          </w:p>
          <w:p w14:paraId="4CA628AD" w14:textId="77777777" w:rsidR="00485716" w:rsidRDefault="00273E27">
            <w:pPr>
              <w:jc w:val="both"/>
              <w:rPr>
                <w:szCs w:val="24"/>
              </w:rPr>
            </w:pPr>
            <w:r>
              <w:rPr>
                <w:szCs w:val="24"/>
              </w:rPr>
              <w:lastRenderedPageBreak/>
              <w:t>3.11.</w:t>
            </w:r>
            <w:r>
              <w:rPr>
                <w:szCs w:val="24"/>
              </w:rPr>
              <w:tab/>
              <w:t xml:space="preserve"> Siekiant užtikrinti atitiktį Reglamento (ES) Nr. 651/2014 6 straipsnio nuostatoms, JP projekto veiklos gali būti pradėtos įgyvendinti ne anksčiau nei po JP projekto paraiškos pateikimo JP vykdytojui dienos. JP projektui, kurio veiklos pradėtos įgyvendinti iki paraiškos registravimo dienos, finansavimas neskiriamas.</w:t>
            </w:r>
          </w:p>
          <w:p w14:paraId="1D73561B" w14:textId="77777777" w:rsidR="00485716" w:rsidRDefault="00273E27">
            <w:pPr>
              <w:jc w:val="both"/>
              <w:rPr>
                <w:szCs w:val="24"/>
              </w:rPr>
            </w:pPr>
            <w:r>
              <w:rPr>
                <w:szCs w:val="24"/>
              </w:rPr>
              <w:t>3.12.</w:t>
            </w:r>
            <w:r>
              <w:rPr>
                <w:szCs w:val="24"/>
              </w:rPr>
              <w:tab/>
              <w:t xml:space="preserve"> JP projektas turi atitikti Projektų taisyklių 2 priede nustatytus bendruosius projektų atrankos kriterijus (įskaitant Apraše nurodytus reikalavimus):</w:t>
            </w:r>
          </w:p>
          <w:p w14:paraId="6CBB1ACE" w14:textId="77777777" w:rsidR="00485716" w:rsidRDefault="00273E27">
            <w:pPr>
              <w:jc w:val="both"/>
              <w:rPr>
                <w:szCs w:val="24"/>
                <w:lang w:eastAsia="lt-LT"/>
              </w:rPr>
            </w:pPr>
            <w:r>
              <w:rPr>
                <w:szCs w:val="24"/>
                <w:lang w:eastAsia="lt-LT"/>
              </w:rPr>
              <w:t>3.12.1.</w:t>
            </w:r>
            <w:r>
              <w:rPr>
                <w:szCs w:val="24"/>
                <w:lang w:eastAsia="lt-LT"/>
              </w:rPr>
              <w:tab/>
            </w:r>
            <w:r>
              <w:rPr>
                <w:szCs w:val="24"/>
              </w:rPr>
              <w:t xml:space="preserve"> EGADP</w:t>
            </w:r>
            <w:r>
              <w:rPr>
                <w:szCs w:val="24"/>
                <w:lang w:eastAsia="lt-LT"/>
              </w:rPr>
              <w:t xml:space="preserve"> reformos „</w:t>
            </w:r>
            <w:r>
              <w:rPr>
                <w:szCs w:val="24"/>
                <w:lang w:eastAsia="nl-BE"/>
              </w:rPr>
              <w:t>Judame neteršdami aplinkos“ investicijos tikslą „</w:t>
            </w:r>
            <w:r>
              <w:rPr>
                <w:rFonts w:eastAsia="Calibri"/>
                <w:szCs w:val="24"/>
              </w:rPr>
              <w:t>Transporto priemonių įkrovimo / alternatyviųjų degalų pildymo infrastruktūros įrengimas“ ir siekiamą rezultatą „</w:t>
            </w:r>
            <w:r>
              <w:rPr>
                <w:szCs w:val="24"/>
              </w:rPr>
              <w:t>Pradėjusios veikti viešosios ir pusiau viešosios įkrovimo prieigos ir labai didelės galios įkrovimo prieigos krovininiam transportui ir (arba) autobusams“</w:t>
            </w:r>
            <w:r>
              <w:rPr>
                <w:iCs/>
                <w:szCs w:val="24"/>
              </w:rPr>
              <w:t xml:space="preserve">; </w:t>
            </w:r>
            <w:r>
              <w:rPr>
                <w:szCs w:val="24"/>
                <w:lang w:eastAsia="lt-LT"/>
              </w:rPr>
              <w:t xml:space="preserve">laikoma, kad JP projektas atitinka šį kriterijų, jeigu JP projektas prisideda prie </w:t>
            </w:r>
            <w:r>
              <w:rPr>
                <w:szCs w:val="24"/>
              </w:rPr>
              <w:t>Nacionalinio pažangos plano</w:t>
            </w:r>
            <w:r>
              <w:rPr>
                <w:szCs w:val="24"/>
                <w:lang w:eastAsia="lt-LT"/>
              </w:rPr>
              <w:t xml:space="preserve"> 6 tikslo „</w:t>
            </w:r>
            <w:r>
              <w:rPr>
                <w:bCs/>
                <w:szCs w:val="24"/>
              </w:rPr>
              <w:t>Užtikrinti gerą aplinkos kokybę ir gamtos išteklių naudojimo darną, saugoti biologinę įvairovę, švelninti Lietuvos poveikį klimato kaitai ir didinti atsparumą jos poveikiui</w:t>
            </w:r>
            <w:r>
              <w:rPr>
                <w:szCs w:val="24"/>
              </w:rPr>
              <w:t xml:space="preserve">“ </w:t>
            </w:r>
            <w:r>
              <w:rPr>
                <w:iCs/>
                <w:szCs w:val="24"/>
              </w:rPr>
              <w:t>6.1 uždavinio „</w:t>
            </w:r>
            <w:r>
              <w:rPr>
                <w:szCs w:val="24"/>
              </w:rPr>
              <w:t>Didinti energijos iš atsinaujinančių energijos išteklių dalį ir alternatyvių degalų vartojimą transporto sektoriuje, skatinti darnų įvairiarūšį judumą ir mažinti transporto sukeliamą aplinkos taršą</w:t>
            </w:r>
            <w:r>
              <w:rPr>
                <w:iCs/>
                <w:szCs w:val="24"/>
              </w:rPr>
              <w:t>“ įgyvendinimo</w:t>
            </w:r>
            <w:r>
              <w:rPr>
                <w:szCs w:val="24"/>
                <w:lang w:eastAsia="lt-LT"/>
              </w:rPr>
              <w:t xml:space="preserve">; </w:t>
            </w:r>
          </w:p>
          <w:p w14:paraId="6100383C" w14:textId="77777777" w:rsidR="00485716" w:rsidRDefault="00273E27">
            <w:pPr>
              <w:jc w:val="both"/>
              <w:rPr>
                <w:szCs w:val="24"/>
                <w:lang w:eastAsia="lt-LT"/>
              </w:rPr>
            </w:pPr>
            <w:r>
              <w:rPr>
                <w:szCs w:val="24"/>
                <w:lang w:eastAsia="lt-LT"/>
              </w:rPr>
              <w:t>3.12.2.</w:t>
            </w:r>
            <w:r>
              <w:rPr>
                <w:szCs w:val="24"/>
                <w:lang w:eastAsia="lt-LT"/>
              </w:rPr>
              <w:tab/>
            </w:r>
            <w:r>
              <w:rPr>
                <w:color w:val="FF0000"/>
                <w:szCs w:val="24"/>
                <w:lang w:eastAsia="lt-LT"/>
              </w:rPr>
              <w:t xml:space="preserve"> </w:t>
            </w:r>
            <w:r>
              <w:rPr>
                <w:szCs w:val="24"/>
                <w:lang w:eastAsia="lt-LT"/>
              </w:rPr>
              <w:t xml:space="preserve">JP projektas turi prisidėti prie 2021 m. rugsėjo 28 d. Komisijos deleguotojo reglamento (ES) 2021/2106, </w:t>
            </w:r>
            <w:r>
              <w:rPr>
                <w:szCs w:val="24"/>
              </w:rPr>
              <w:t>kuriuo nustatomi ekonomikos gaivinimo ir atsparumo didinimo rezultatų suvestinės bendri rodikliai, išsamiai apibrėžiami jos elementai ir taip papildomas Europos Parlamento ir Tarybos reglamentas (ES) 2021/241, kuriuo nustatoma ekonomikos gaivinimo ir atsparumo didinimo priemonė,</w:t>
            </w:r>
            <w:r>
              <w:rPr>
                <w:szCs w:val="24"/>
                <w:lang w:eastAsia="lt-LT"/>
              </w:rPr>
              <w:t xml:space="preserve"> priede nustatyto 3 bendrojo rodiklio „</w:t>
            </w:r>
            <w:r>
              <w:rPr>
                <w:szCs w:val="24"/>
              </w:rPr>
              <w:t>Alternatyviųjų degalų infrastruktūra (degalų papildymo punktai / įkrovimo prieigos</w:t>
            </w:r>
            <w:r>
              <w:rPr>
                <w:szCs w:val="24"/>
                <w:lang w:eastAsia="lt-LT"/>
              </w:rPr>
              <w:t>“ pasiekimo;</w:t>
            </w:r>
          </w:p>
          <w:p w14:paraId="607A491C" w14:textId="77777777" w:rsidR="00485716" w:rsidRDefault="00273E27">
            <w:pPr>
              <w:tabs>
                <w:tab w:val="left" w:pos="447"/>
                <w:tab w:val="left" w:pos="612"/>
                <w:tab w:val="left" w:pos="742"/>
                <w:tab w:val="left" w:pos="1025"/>
              </w:tabs>
              <w:jc w:val="both"/>
            </w:pPr>
            <w:r>
              <w:rPr>
                <w:szCs w:val="22"/>
              </w:rPr>
              <w:t>3.12.3.</w:t>
            </w:r>
            <w:r>
              <w:rPr>
                <w:szCs w:val="22"/>
              </w:rPr>
              <w:tab/>
            </w:r>
            <w:r>
              <w:t>JP projekto veiklos turi atitikti</w:t>
            </w:r>
            <w:r>
              <w:rPr>
                <w:szCs w:val="24"/>
              </w:rPr>
              <w:t xml:space="preserve"> </w:t>
            </w:r>
            <w:r>
              <w:t>Elektromobilių naudojimo ir elektromobilių įkrovimo infrastruktūros plėtros veiksmų plane numatytą prioritetinę plėtros kryptį: viešosios ir pusiau viešosios elektromobilių įkrovimo infrastruktūros įrengimas / plėtra savivaldybių teritorijose (be darnaus judumo planų);</w:t>
            </w:r>
          </w:p>
          <w:p w14:paraId="4E53A5EA" w14:textId="77777777" w:rsidR="00485716" w:rsidRDefault="00273E27">
            <w:pPr>
              <w:tabs>
                <w:tab w:val="left" w:pos="447"/>
                <w:tab w:val="left" w:pos="612"/>
                <w:tab w:val="left" w:pos="742"/>
                <w:tab w:val="left" w:pos="1025"/>
              </w:tabs>
              <w:jc w:val="both"/>
              <w:rPr>
                <w:szCs w:val="24"/>
                <w:lang w:eastAsia="lt-LT"/>
              </w:rPr>
            </w:pPr>
            <w:r>
              <w:rPr>
                <w:szCs w:val="24"/>
                <w:lang w:eastAsia="lt-LT"/>
              </w:rPr>
              <w:t>3.12.4.</w:t>
            </w:r>
            <w:r>
              <w:rPr>
                <w:szCs w:val="24"/>
                <w:lang w:eastAsia="lt-LT"/>
              </w:rPr>
              <w:tab/>
            </w:r>
            <w:r>
              <w:rPr>
                <w:szCs w:val="24"/>
              </w:rPr>
              <w:t>JP p</w:t>
            </w:r>
            <w:r>
              <w:rPr>
                <w:szCs w:val="24"/>
                <w:lang w:eastAsia="lt-LT"/>
              </w:rPr>
              <w:t>rojekto veiklos turi šalinti Susisiekimo plėtros programoje nustatytą problemos „</w:t>
            </w:r>
            <w:r>
              <w:rPr>
                <w:szCs w:val="24"/>
              </w:rPr>
              <w:t>Transporto sektorius generuoja didžiausią šiltnamio efektą sukeliančių dujų (ŠESD) ir transportui būdingų oro teršalų dalį Lietuvoje“ priežastį – trūksta alternatyviųjų degalų įkrovimo / papildymo infrastruktūros.</w:t>
            </w:r>
          </w:p>
          <w:p w14:paraId="7A10EDAD" w14:textId="77777777" w:rsidR="00485716" w:rsidRDefault="00273E27">
            <w:pPr>
              <w:tabs>
                <w:tab w:val="left" w:pos="447"/>
                <w:tab w:val="left" w:pos="742"/>
                <w:tab w:val="left" w:pos="1025"/>
              </w:tabs>
              <w:jc w:val="both"/>
              <w:rPr>
                <w:szCs w:val="24"/>
              </w:rPr>
            </w:pPr>
            <w:r>
              <w:rPr>
                <w:szCs w:val="24"/>
              </w:rPr>
              <w:t>3.12.5.</w:t>
            </w:r>
            <w:r>
              <w:rPr>
                <w:szCs w:val="24"/>
              </w:rPr>
              <w:tab/>
              <w:t>Kartu su paraiška JP vykdytojui turi būti pateikti dokumentai / informacija:</w:t>
            </w:r>
          </w:p>
          <w:p w14:paraId="767B06B9" w14:textId="77777777" w:rsidR="00485716" w:rsidRDefault="00273E27">
            <w:pPr>
              <w:tabs>
                <w:tab w:val="left" w:pos="447"/>
                <w:tab w:val="left" w:pos="742"/>
                <w:tab w:val="left" w:pos="1025"/>
              </w:tabs>
              <w:jc w:val="both"/>
              <w:rPr>
                <w:szCs w:val="24"/>
              </w:rPr>
            </w:pPr>
            <w:r>
              <w:rPr>
                <w:szCs w:val="24"/>
              </w:rPr>
              <w:t>3.12.5.1.</w:t>
            </w:r>
            <w:r>
              <w:rPr>
                <w:szCs w:val="24"/>
              </w:rPr>
              <w:tab/>
              <w:t>užpildytas P</w:t>
            </w:r>
            <w:r>
              <w:rPr>
                <w:rFonts w:eastAsia="Calibri"/>
                <w:szCs w:val="24"/>
              </w:rPr>
              <w:t>rojekto (įkaitant jungtinį projektą) atitikties reikšmingos žalos nedarymo horizontaliajam principui vertinimo reikalavimų aprašas</w:t>
            </w:r>
            <w:r>
              <w:rPr>
                <w:szCs w:val="24"/>
              </w:rPr>
              <w:t xml:space="preserve"> (Aprašo 1 priedas);</w:t>
            </w:r>
          </w:p>
          <w:p w14:paraId="68BDD13A" w14:textId="77777777" w:rsidR="00485716" w:rsidRDefault="00273E27">
            <w:pPr>
              <w:tabs>
                <w:tab w:val="left" w:pos="447"/>
                <w:tab w:val="left" w:pos="742"/>
                <w:tab w:val="left" w:pos="1025"/>
              </w:tabs>
              <w:jc w:val="both"/>
              <w:rPr>
                <w:szCs w:val="24"/>
              </w:rPr>
            </w:pPr>
            <w:r>
              <w:rPr>
                <w:szCs w:val="24"/>
              </w:rPr>
              <w:t>3.12.5.2.</w:t>
            </w:r>
            <w:r>
              <w:rPr>
                <w:szCs w:val="24"/>
              </w:rPr>
              <w:tab/>
              <w:t>į</w:t>
            </w:r>
            <w:r>
              <w:rPr>
                <w:iCs/>
                <w:szCs w:val="24"/>
              </w:rPr>
              <w:t>rodymai dėl stabilių ir pakankamų finansų išteklių ir galimybės užtikrinti veiklos tęstinumą per visą JP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55109F2C" w14:textId="77777777" w:rsidR="00485716" w:rsidRDefault="00273E27">
            <w:pPr>
              <w:tabs>
                <w:tab w:val="left" w:pos="447"/>
                <w:tab w:val="left" w:pos="742"/>
                <w:tab w:val="left" w:pos="990"/>
                <w:tab w:val="left" w:pos="1025"/>
              </w:tabs>
              <w:jc w:val="both"/>
              <w:rPr>
                <w:szCs w:val="24"/>
              </w:rPr>
            </w:pPr>
            <w:r>
              <w:rPr>
                <w:szCs w:val="24"/>
              </w:rPr>
              <w:t>3.12.5.3.</w:t>
            </w:r>
            <w:r>
              <w:rPr>
                <w:szCs w:val="24"/>
              </w:rPr>
              <w:tab/>
              <w:t>informacija apie projekto poveikio aplinkai vertinimą ir projekto poveikį Europos Sąjungos saugomų teritorijų tinklui „</w:t>
            </w:r>
            <w:proofErr w:type="spellStart"/>
            <w:r>
              <w:rPr>
                <w:szCs w:val="24"/>
              </w:rPr>
              <w:t>Natura</w:t>
            </w:r>
            <w:proofErr w:type="spellEnd"/>
            <w:r>
              <w:rPr>
                <w:szCs w:val="24"/>
              </w:rPr>
              <w:t xml:space="preserve"> 2000“ pagal projektų įgyvendinimo plano formos (Projektų taisyklių 1 priedas) 3 priede pateiktą formą, pridedant atitinkamus reikalaujamus dokumentus, kai elektromobilių įkrovimo prieigos įrengiamos „</w:t>
            </w:r>
            <w:proofErr w:type="spellStart"/>
            <w:r>
              <w:rPr>
                <w:szCs w:val="24"/>
              </w:rPr>
              <w:t>Natura</w:t>
            </w:r>
            <w:proofErr w:type="spellEnd"/>
            <w:r>
              <w:rPr>
                <w:szCs w:val="24"/>
              </w:rPr>
              <w:t xml:space="preserve"> 2000“ teritorijose;</w:t>
            </w:r>
          </w:p>
          <w:p w14:paraId="79B7338C" w14:textId="77777777" w:rsidR="00485716" w:rsidRDefault="00273E27">
            <w:pPr>
              <w:tabs>
                <w:tab w:val="left" w:pos="447"/>
                <w:tab w:val="left" w:pos="742"/>
                <w:tab w:val="left" w:pos="990"/>
                <w:tab w:val="left" w:pos="1025"/>
              </w:tabs>
              <w:jc w:val="both"/>
              <w:rPr>
                <w:szCs w:val="24"/>
              </w:rPr>
            </w:pPr>
            <w:r>
              <w:rPr>
                <w:szCs w:val="24"/>
              </w:rPr>
              <w:t>3.12.5.4.</w:t>
            </w:r>
            <w:r>
              <w:rPr>
                <w:szCs w:val="24"/>
              </w:rPr>
              <w:tab/>
            </w:r>
            <w:r>
              <w:rPr>
                <w:iCs/>
                <w:szCs w:val="24"/>
              </w:rPr>
              <w:t>pareiškėjo paskutinių finansinių metų patvirtintų metinės finansinės (konsoliduotosios, jeigu taikoma) atskaitomybės dokumentų kopijos (netaikoma pareiškėjui, kuris šias kopijas yra pateikęs Juridinių asmenų  registrui)</w:t>
            </w:r>
            <w:r>
              <w:rPr>
                <w:szCs w:val="24"/>
              </w:rPr>
              <w:t>;</w:t>
            </w:r>
          </w:p>
          <w:p w14:paraId="04417687" w14:textId="77777777" w:rsidR="00485716" w:rsidRDefault="00273E27">
            <w:pPr>
              <w:tabs>
                <w:tab w:val="left" w:pos="447"/>
                <w:tab w:val="left" w:pos="742"/>
                <w:tab w:val="left" w:pos="990"/>
                <w:tab w:val="left" w:pos="1025"/>
              </w:tabs>
              <w:jc w:val="both"/>
              <w:rPr>
                <w:szCs w:val="24"/>
              </w:rPr>
            </w:pPr>
            <w:r>
              <w:rPr>
                <w:szCs w:val="24"/>
              </w:rPr>
              <w:t>3.12.5.5.</w:t>
            </w:r>
            <w:r>
              <w:rPr>
                <w:szCs w:val="24"/>
              </w:rPr>
              <w:tab/>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smulkioji ir vidutinio verslo subjektas, ir nurodoma informacija apie susijusių įmonių sąrašą);</w:t>
            </w:r>
          </w:p>
          <w:p w14:paraId="5E6CC579" w14:textId="77777777" w:rsidR="00485716" w:rsidRDefault="00273E27">
            <w:pPr>
              <w:tabs>
                <w:tab w:val="left" w:pos="447"/>
                <w:tab w:val="left" w:pos="742"/>
                <w:tab w:val="left" w:pos="990"/>
                <w:tab w:val="left" w:pos="1025"/>
              </w:tabs>
              <w:jc w:val="both"/>
              <w:rPr>
                <w:szCs w:val="24"/>
              </w:rPr>
            </w:pPr>
            <w:r>
              <w:rPr>
                <w:szCs w:val="24"/>
              </w:rPr>
              <w:lastRenderedPageBreak/>
              <w:t>3.12.5.6.</w:t>
            </w:r>
            <w:r>
              <w:rPr>
                <w:szCs w:val="24"/>
              </w:rPr>
              <w:tab/>
              <w:t>informacija apie pareiškėjui suteiktą valstybės pagalbą – pagal Projektų įgyvendinimo plano formos (Projektų taisyklių 1 priedas) 4 priede pateiktą formą;</w:t>
            </w:r>
          </w:p>
          <w:p w14:paraId="0DE0A826" w14:textId="77777777" w:rsidR="00485716" w:rsidRDefault="00273E27">
            <w:pPr>
              <w:tabs>
                <w:tab w:val="left" w:pos="447"/>
                <w:tab w:val="left" w:pos="742"/>
                <w:tab w:val="left" w:pos="990"/>
                <w:tab w:val="left" w:pos="1025"/>
              </w:tabs>
              <w:jc w:val="both"/>
              <w:rPr>
                <w:szCs w:val="24"/>
              </w:rPr>
            </w:pPr>
            <w:r>
              <w:rPr>
                <w:szCs w:val="24"/>
              </w:rPr>
              <w:t>3.12.5.7.</w:t>
            </w:r>
            <w:r>
              <w:rPr>
                <w:szCs w:val="24"/>
              </w:rPr>
              <w:tab/>
              <w:t>patvirtinimas, kad JP projekto pareiškėjo (juridinio asmens) valdymo organas, turintis teisę priimti sprendimus (pvz., juridinio asmens vadovas (veikiantis pagal įstatus) arba jo įgaliotas asmuo), yra priėmęs sprendimą pritarti JP projekto pareiškėjo teikiamai JP projekto paraiškai ir JP projekto įgyvendinimui;</w:t>
            </w:r>
          </w:p>
          <w:p w14:paraId="7E9F7093" w14:textId="77777777" w:rsidR="00485716" w:rsidRDefault="00273E27">
            <w:pPr>
              <w:tabs>
                <w:tab w:val="left" w:pos="447"/>
                <w:tab w:val="left" w:pos="742"/>
                <w:tab w:val="left" w:pos="990"/>
                <w:tab w:val="left" w:pos="1025"/>
              </w:tabs>
              <w:jc w:val="both"/>
              <w:rPr>
                <w:szCs w:val="24"/>
              </w:rPr>
            </w:pPr>
            <w:r>
              <w:rPr>
                <w:szCs w:val="24"/>
              </w:rPr>
              <w:t>3.12.5.8.</w:t>
            </w:r>
            <w:r>
              <w:rPr>
                <w:szCs w:val="24"/>
              </w:rPr>
              <w:tab/>
              <w:t>pareiškėjo nekilnojamojo turto objekto (-</w:t>
            </w:r>
            <w:proofErr w:type="spellStart"/>
            <w:r>
              <w:rPr>
                <w:szCs w:val="24"/>
              </w:rPr>
              <w:t>us</w:t>
            </w:r>
            <w:proofErr w:type="spellEnd"/>
            <w:r>
              <w:rPr>
                <w:szCs w:val="24"/>
              </w:rPr>
              <w:t>)</w:t>
            </w:r>
            <w:r>
              <w:rPr>
                <w:i/>
                <w:iCs/>
                <w:szCs w:val="24"/>
              </w:rPr>
              <w:t xml:space="preserve"> </w:t>
            </w:r>
            <w:r>
              <w:rPr>
                <w:szCs w:val="24"/>
              </w:rPr>
              <w:t>valdymo teisę</w:t>
            </w:r>
            <w:r>
              <w:rPr>
                <w:i/>
                <w:iCs/>
                <w:szCs w:val="24"/>
              </w:rPr>
              <w:t xml:space="preserve"> </w:t>
            </w:r>
            <w:r>
              <w:rPr>
                <w:szCs w:val="24"/>
              </w:rPr>
              <w:t>įrodantys dokumentai – VĮ Registrų centro Nekilnojamojo turto registro išrašas arba nekilnojamojo turto objekto (arba jo dalies, reikalingos JP projekto veikloms įgyvendinti) valdymo teisę kitais teisėtais būdais pagrindžiantys dokumentai, arba pasirašyta preliminari pirkimo arba nuomos sutartis, arba panaudos davėjo ar nuomotojo rašytinis sutikimas vykdyti JP projekto veiklas nekilnojamojo turto objekte, jei statinys ar žemės sklypas yra naudojamas pagal panaudos ar nuomos sutartį ir jei toks sutikimas nėra suteikiamas nuomos ar panaudos sutartyje;</w:t>
            </w:r>
          </w:p>
          <w:p w14:paraId="45AEAF23" w14:textId="77777777" w:rsidR="00485716" w:rsidRDefault="00273E27">
            <w:pPr>
              <w:tabs>
                <w:tab w:val="left" w:pos="447"/>
                <w:tab w:val="left" w:pos="742"/>
                <w:tab w:val="left" w:pos="990"/>
                <w:tab w:val="left" w:pos="1025"/>
              </w:tabs>
              <w:jc w:val="both"/>
              <w:rPr>
                <w:szCs w:val="24"/>
              </w:rPr>
            </w:pPr>
            <w:r>
              <w:rPr>
                <w:szCs w:val="24"/>
              </w:rPr>
              <w:t>3.12.5.9.</w:t>
            </w:r>
            <w:r>
              <w:rPr>
                <w:szCs w:val="24"/>
              </w:rPr>
              <w:tab/>
              <w:t xml:space="preserve"> patvirtinimas, kad mokėjimo prašymą kompensuoti tinkamas JP projekto išlaidas teiks tik gavęs teisės aktuose nustatytus (jei taikoma) sutikimus / leidimus įrengti ir prijungti prie elektros tinklo elektromobilių įkrovimo stotelę su prieiga (-</w:t>
            </w:r>
            <w:proofErr w:type="spellStart"/>
            <w:r>
              <w:rPr>
                <w:szCs w:val="24"/>
              </w:rPr>
              <w:t>omis</w:t>
            </w:r>
            <w:proofErr w:type="spellEnd"/>
            <w:r>
              <w:rPr>
                <w:szCs w:val="24"/>
              </w:rPr>
              <w:t>) atitinkamame nekilnojamojo turto objekte.</w:t>
            </w:r>
          </w:p>
          <w:p w14:paraId="5981B5BE" w14:textId="77777777" w:rsidR="00485716" w:rsidRDefault="00273E27">
            <w:pPr>
              <w:tabs>
                <w:tab w:val="left" w:pos="447"/>
                <w:tab w:val="left" w:pos="742"/>
                <w:tab w:val="left" w:pos="990"/>
                <w:tab w:val="left" w:pos="1025"/>
              </w:tabs>
              <w:jc w:val="both"/>
              <w:rPr>
                <w:szCs w:val="24"/>
              </w:rPr>
            </w:pPr>
            <w:r>
              <w:rPr>
                <w:szCs w:val="24"/>
              </w:rPr>
              <w:t>3.12.6.</w:t>
            </w:r>
            <w:r>
              <w:rPr>
                <w:szCs w:val="24"/>
              </w:rPr>
              <w:tab/>
              <w:t>Bet kokia koncesija arba kitas perdavimas trečiajai šaliai eksploatuoti finansuojamą elektromobilių įkrovimo infrastruktūrą yra suteikiamas konkurencingomis, skaidriomis ir nediskriminacinėmis sąlygomis, deramai atsižvelgus į taikomas  koncesijos suteikimo taisykles ar kitus taikytinus teisės aktus.</w:t>
            </w:r>
          </w:p>
          <w:p w14:paraId="602626AB" w14:textId="77777777" w:rsidR="00485716" w:rsidRDefault="00273E27">
            <w:pPr>
              <w:tabs>
                <w:tab w:val="left" w:pos="736"/>
                <w:tab w:val="left" w:pos="1560"/>
              </w:tabs>
              <w:suppressAutoHyphens/>
              <w:jc w:val="both"/>
              <w:textAlignment w:val="baseline"/>
              <w:rPr>
                <w:szCs w:val="24"/>
                <w:lang w:eastAsia="lt-LT"/>
              </w:rPr>
            </w:pPr>
            <w:r>
              <w:rPr>
                <w:szCs w:val="24"/>
                <w:lang w:eastAsia="lt-LT"/>
              </w:rPr>
              <w:t>3.12.7.</w:t>
            </w:r>
            <w:r>
              <w:rPr>
                <w:szCs w:val="24"/>
                <w:lang w:eastAsia="lt-LT"/>
              </w:rPr>
              <w:tab/>
            </w:r>
            <w:r>
              <w:rPr>
                <w:szCs w:val="24"/>
              </w:rPr>
              <w:t xml:space="preserve">JP projekto paraiška atmetama, jei pateikta pasibaigus kvietime teikti paraiškas nustatytam terminui arba neatitinka bent vieno Projektų taisyklių 2 priede nustatyto bendrojo projektų atrankos kriterijaus, Apraše nustatytų reikalavimų, JP projekto pareiškėjas veikia Reglamento (ES) Nr. 651/2014 </w:t>
            </w:r>
            <w:r>
              <w:rPr>
                <w:szCs w:val="24"/>
              </w:rPr>
              <w:br/>
              <w:t>1 straipsnio 3 dalyje nurodytame sektoriuje ir (arba) atitinka šio straipsnio 4 dalyje Reglamento (ES) Nr. 651/2014 netaikymo nuostatas ir (arba) kai su JP projekto paraiška nepateikus visų Apraše reikalaujamų pateikti dokumentų tokie dokumentai nėra pateikiami JP vykdytojui vieną kartą paprašius per JP vykdytojo nurodytą terminą.</w:t>
            </w:r>
          </w:p>
          <w:p w14:paraId="32A6567F" w14:textId="77777777" w:rsidR="00485716" w:rsidRDefault="00273E27">
            <w:pPr>
              <w:tabs>
                <w:tab w:val="left" w:pos="736"/>
                <w:tab w:val="left" w:pos="1560"/>
              </w:tabs>
              <w:suppressAutoHyphens/>
              <w:jc w:val="both"/>
              <w:textAlignment w:val="baseline"/>
              <w:rPr>
                <w:szCs w:val="24"/>
              </w:rPr>
            </w:pPr>
            <w:r>
              <w:rPr>
                <w:szCs w:val="24"/>
              </w:rPr>
              <w:t>3.12.8.</w:t>
            </w:r>
            <w:r>
              <w:rPr>
                <w:szCs w:val="24"/>
              </w:rPr>
              <w:tab/>
              <w:t>Pagal Aprašą 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325120F3" w14:textId="77777777" w:rsidR="00485716" w:rsidRDefault="00273E27">
            <w:pPr>
              <w:tabs>
                <w:tab w:val="left" w:pos="736"/>
              </w:tabs>
              <w:suppressAutoHyphens/>
              <w:jc w:val="both"/>
              <w:textAlignment w:val="baseline"/>
              <w:rPr>
                <w:szCs w:val="24"/>
              </w:rPr>
            </w:pPr>
            <w:r>
              <w:rPr>
                <w:szCs w:val="24"/>
              </w:rPr>
              <w:t>3.12.9.</w:t>
            </w:r>
            <w:r>
              <w:rPr>
                <w:szCs w:val="24"/>
              </w:rPr>
              <w:tab/>
              <w:t xml:space="preserve"> JP projektas įgyvendinamas pagal projekto sutartyje, Apraše ir Projektų taisyklėse nustatytus reikalavimus.</w:t>
            </w:r>
          </w:p>
          <w:p w14:paraId="6D69E9CF" w14:textId="77777777" w:rsidR="00485716" w:rsidRDefault="00273E27">
            <w:pPr>
              <w:tabs>
                <w:tab w:val="left" w:pos="736"/>
                <w:tab w:val="left" w:pos="878"/>
              </w:tabs>
              <w:suppressAutoHyphens/>
              <w:jc w:val="both"/>
              <w:textAlignment w:val="baseline"/>
              <w:rPr>
                <w:szCs w:val="24"/>
              </w:rPr>
            </w:pPr>
            <w:r>
              <w:rPr>
                <w:szCs w:val="24"/>
              </w:rPr>
              <w:t>3.12.10.</w:t>
            </w:r>
            <w:r>
              <w:rPr>
                <w:szCs w:val="24"/>
              </w:rPr>
              <w:tab/>
              <w:t>Pareiškėjas privalo užtikrinti, kad visi su JP projekto įgyvendinimu susiję viešieji pirkimai būtų vykdomi vadovaujantis P</w:t>
            </w:r>
            <w:r>
              <w:rPr>
                <w:szCs w:val="24"/>
                <w:lang w:eastAsia="lt-LT"/>
              </w:rPr>
              <w:t>irkimų taisyklėmis, nustatytomis Projektų taisyklių 7 priede;</w:t>
            </w:r>
            <w:r>
              <w:rPr>
                <w:szCs w:val="24"/>
              </w:rPr>
              <w:t xml:space="preserve"> projekto sutartys turi būti įgyvendinamos vadovaujantis Lietuvos Respublikos teisės aktais.</w:t>
            </w:r>
          </w:p>
        </w:tc>
      </w:tr>
      <w:tr w:rsidR="00485716" w14:paraId="1B4869D1" w14:textId="77777777">
        <w:trPr>
          <w:trHeight w:val="541"/>
        </w:trPr>
        <w:tc>
          <w:tcPr>
            <w:tcW w:w="15021" w:type="dxa"/>
          </w:tcPr>
          <w:p w14:paraId="70AC3E44" w14:textId="77777777" w:rsidR="00485716" w:rsidRDefault="00273E27">
            <w:pPr>
              <w:jc w:val="both"/>
              <w:rPr>
                <w:b/>
                <w:szCs w:val="24"/>
              </w:rPr>
            </w:pPr>
            <w:r>
              <w:rPr>
                <w:b/>
                <w:szCs w:val="24"/>
              </w:rPr>
              <w:lastRenderedPageBreak/>
              <w:t>4. Projekto tikslinės grupės</w:t>
            </w:r>
          </w:p>
          <w:p w14:paraId="1ADDAF57" w14:textId="77777777" w:rsidR="00485716" w:rsidRDefault="00485716">
            <w:pPr>
              <w:rPr>
                <w:sz w:val="10"/>
                <w:szCs w:val="10"/>
              </w:rPr>
            </w:pPr>
          </w:p>
          <w:p w14:paraId="459C612A" w14:textId="77777777" w:rsidR="00485716" w:rsidRDefault="00273E27">
            <w:pPr>
              <w:jc w:val="both"/>
              <w:rPr>
                <w:bCs/>
                <w:szCs w:val="24"/>
              </w:rPr>
            </w:pPr>
            <w:r>
              <w:rPr>
                <w:bCs/>
                <w:szCs w:val="24"/>
              </w:rPr>
              <w:t xml:space="preserve">Juridiniai asmenys, turintys teisę </w:t>
            </w:r>
            <w:r>
              <w:rPr>
                <w:szCs w:val="24"/>
              </w:rPr>
              <w:t>vykdyti ekonominę veiklą</w:t>
            </w:r>
            <w:r>
              <w:rPr>
                <w:bCs/>
                <w:szCs w:val="24"/>
              </w:rPr>
              <w:t>, įsigyjantys ir įrengiantys viešai prieinamą elektromobilių įkrovimo infrastruktūrą (elektromobilių įkrovimo stoteles su prieiga (-</w:t>
            </w:r>
            <w:proofErr w:type="spellStart"/>
            <w:r>
              <w:rPr>
                <w:bCs/>
                <w:szCs w:val="24"/>
              </w:rPr>
              <w:t>omis</w:t>
            </w:r>
            <w:proofErr w:type="spellEnd"/>
            <w:r>
              <w:rPr>
                <w:bCs/>
                <w:szCs w:val="24"/>
              </w:rPr>
              <w:t xml:space="preserve">)). </w:t>
            </w:r>
          </w:p>
        </w:tc>
      </w:tr>
      <w:tr w:rsidR="00485716" w14:paraId="3E11A23E" w14:textId="77777777">
        <w:trPr>
          <w:trHeight w:val="285"/>
        </w:trPr>
        <w:tc>
          <w:tcPr>
            <w:tcW w:w="15021" w:type="dxa"/>
          </w:tcPr>
          <w:p w14:paraId="44103D6F" w14:textId="77777777" w:rsidR="00485716" w:rsidRDefault="00273E27">
            <w:pPr>
              <w:rPr>
                <w:sz w:val="22"/>
                <w:szCs w:val="22"/>
              </w:rPr>
            </w:pPr>
            <w:r>
              <w:rPr>
                <w:b/>
                <w:szCs w:val="24"/>
              </w:rPr>
              <w:t>5. Horizontaliųjų principų (toliau – HP) reikalavimai</w:t>
            </w:r>
          </w:p>
        </w:tc>
      </w:tr>
      <w:tr w:rsidR="00485716" w14:paraId="2FC457D3" w14:textId="77777777">
        <w:tc>
          <w:tcPr>
            <w:tcW w:w="15021" w:type="dxa"/>
          </w:tcPr>
          <w:p w14:paraId="4589F2F9" w14:textId="77777777" w:rsidR="00485716" w:rsidRDefault="00273E27">
            <w:pPr>
              <w:jc w:val="both"/>
              <w:rPr>
                <w:szCs w:val="24"/>
              </w:rPr>
            </w:pPr>
            <w:r>
              <w:rPr>
                <w:szCs w:val="24"/>
              </w:rPr>
              <w:t>5.1.</w:t>
            </w:r>
            <w:r>
              <w:rPr>
                <w:szCs w:val="24"/>
              </w:rPr>
              <w:tab/>
              <w:t xml:space="preserve"> Pagal Aprašą finansuojama JP veikla ir JP projekto veikla:</w:t>
            </w:r>
          </w:p>
          <w:p w14:paraId="583B1B1D" w14:textId="77777777" w:rsidR="00485716" w:rsidRDefault="00273E27">
            <w:pPr>
              <w:jc w:val="both"/>
              <w:rPr>
                <w:szCs w:val="24"/>
              </w:rPr>
            </w:pPr>
            <w:r>
              <w:rPr>
                <w:szCs w:val="24"/>
              </w:rPr>
              <w:t>5.1.1.</w:t>
            </w:r>
            <w:r>
              <w:rPr>
                <w:szCs w:val="24"/>
              </w:rPr>
              <w:tab/>
              <w:t xml:space="preserve"> prisidės prie Nacionaliniame pažangos plane įtvirtinto darnaus vystymosi HP įgyvendinimo ir pažangos rodiklių „1.2. Žaliųjų viešųjų pirkimų vertės dalis nuo visų viešųjų pirkimų dalies“ ir „1.3. Išmetamų į atmosferą šiltnamio efektą sukeliančių dujų kiekio pokytis ES ATLPS nedalyvaujančiuose sektoriuose, palyginti su 2005 m.“ pasiekimo;</w:t>
            </w:r>
          </w:p>
          <w:p w14:paraId="6E8C0D83" w14:textId="77777777" w:rsidR="00485716" w:rsidRDefault="00273E27">
            <w:pPr>
              <w:jc w:val="both"/>
              <w:rPr>
                <w:szCs w:val="24"/>
              </w:rPr>
            </w:pPr>
            <w:r>
              <w:rPr>
                <w:szCs w:val="24"/>
              </w:rPr>
              <w:lastRenderedPageBreak/>
              <w:t>5.1.2.</w:t>
            </w:r>
            <w:r>
              <w:rPr>
                <w:szCs w:val="24"/>
              </w:rPr>
              <w:tab/>
              <w:t xml:space="preserve"> tiesiogiai neturės poveikio inovatyvumo (kūrybingumo) HP, nes nėra susijusios su sisteminių inovacijų ekosistemos problemų sprendimu ar atviros, laisvos, savimi pasitikinčios ir kūrybingos visuomenės, kuri yra būtina inovatyvumo sąlyga, ugdymu, tačiau ir neturės neigiamo poveikio šiam HP;</w:t>
            </w:r>
          </w:p>
          <w:p w14:paraId="0DEF3C99" w14:textId="77777777" w:rsidR="00485716" w:rsidRDefault="00273E27">
            <w:pPr>
              <w:jc w:val="both"/>
              <w:rPr>
                <w:szCs w:val="24"/>
              </w:rPr>
            </w:pPr>
            <w:r>
              <w:rPr>
                <w:szCs w:val="24"/>
              </w:rPr>
              <w:t>5.1.3.</w:t>
            </w:r>
            <w:r>
              <w:rPr>
                <w:szCs w:val="24"/>
              </w:rPr>
              <w:tab/>
              <w:t xml:space="preserve"> nėra tiesiogiai susijusios su atskirų visuomenės grupių gyvenimo kokybės gerinimu, tačiau jomis bus prisidėta prie HP galimybių visiems principo rodiklio „3.1. Neįgaliųjų gyvenimo kokybės indeksas“, kurio viena iš sudedamųjų dalių yra fizinės ir informacinės aplinkos prieinamumas, pasiekimo; įrengtomis stotelėmis su prieiga turės galimybę naudotis visos visuomenės grupės, įskaitant ir asmenis, turinčius individualių poreikių;</w:t>
            </w:r>
          </w:p>
          <w:p w14:paraId="2DF4838A" w14:textId="77777777" w:rsidR="00485716" w:rsidRDefault="00273E27">
            <w:pPr>
              <w:jc w:val="both"/>
              <w:rPr>
                <w:szCs w:val="24"/>
              </w:rPr>
            </w:pPr>
            <w:r>
              <w:rPr>
                <w:szCs w:val="24"/>
              </w:rPr>
              <w:t>5.1.4.</w:t>
            </w:r>
            <w:r>
              <w:rPr>
                <w:szCs w:val="24"/>
              </w:rPr>
              <w:tab/>
              <w:t xml:space="preserve"> nepažeis lygių galimybių visiems HP, nes veikloms įgyvendinti nebus numatyti jokie ribojimai dėl lygių galimybių ir veikloje dalyvauti ar jos įgyvendinimo metu sukurtais rezultatais galės naudotis visos visuomenės grupės.</w:t>
            </w:r>
          </w:p>
          <w:p w14:paraId="18670353" w14:textId="77777777" w:rsidR="00485716" w:rsidRDefault="00273E27">
            <w:pPr>
              <w:jc w:val="both"/>
              <w:rPr>
                <w:szCs w:val="24"/>
              </w:rPr>
            </w:pPr>
            <w:r>
              <w:rPr>
                <w:szCs w:val="24"/>
              </w:rPr>
              <w:t>5.2.</w:t>
            </w:r>
            <w:r>
              <w:rPr>
                <w:szCs w:val="24"/>
              </w:rPr>
              <w:tab/>
              <w:t xml:space="preserve"> Įgyvendinant JP ir JP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w:t>
            </w:r>
            <w:r>
              <w:rPr>
                <w:szCs w:val="24"/>
                <w:shd w:val="clear" w:color="auto" w:fill="FFFFFF"/>
                <w:lang w:eastAsia="lt-LT"/>
              </w:rPr>
              <w:t xml:space="preserve"> atsižvelgiama į Jungtinių Tautų neįgaliųjų teisių konvencijos nuostatas</w:t>
            </w:r>
            <w:r>
              <w:rPr>
                <w:szCs w:val="24"/>
              </w:rPr>
              <w:t xml:space="preserve">. </w:t>
            </w:r>
          </w:p>
          <w:p w14:paraId="42F757DA" w14:textId="77777777" w:rsidR="00485716" w:rsidRDefault="00273E27">
            <w:pPr>
              <w:jc w:val="both"/>
              <w:rPr>
                <w:rFonts w:eastAsia="Calibri"/>
                <w:bCs/>
                <w:szCs w:val="24"/>
              </w:rPr>
            </w:pPr>
            <w:r>
              <w:rPr>
                <w:rFonts w:eastAsia="Calibri"/>
                <w:bCs/>
                <w:szCs w:val="24"/>
              </w:rPr>
              <w:t>5.3.</w:t>
            </w:r>
            <w:r>
              <w:rPr>
                <w:rFonts w:eastAsia="Calibri"/>
                <w:bCs/>
                <w:szCs w:val="24"/>
              </w:rPr>
              <w:tab/>
            </w:r>
            <w:r>
              <w:rPr>
                <w:szCs w:val="24"/>
              </w:rPr>
              <w:t xml:space="preserve"> Į</w:t>
            </w:r>
            <w:r>
              <w:rPr>
                <w:szCs w:val="24"/>
                <w:shd w:val="clear" w:color="auto" w:fill="FFFFFF"/>
                <w:lang w:eastAsia="lt-LT"/>
              </w:rPr>
              <w:t>gyvendinant JP projektą</w:t>
            </w:r>
            <w:r>
              <w:rPr>
                <w:rFonts w:eastAsia="Calibri"/>
                <w:szCs w:val="24"/>
              </w:rPr>
              <w:t xml:space="preserve"> elektromobilių įkrovimo infrastruktūra turi būti kuriama ir plėtojama laikantis universalaus dizaino principų ir turi būti užtikrintas</w:t>
            </w:r>
            <w:r>
              <w:rPr>
                <w:szCs w:val="24"/>
              </w:rPr>
              <w:t xml:space="preserve"> prieinamumas ir veiksminga nediskriminacinė prieiga,</w:t>
            </w:r>
            <w:r>
              <w:rPr>
                <w:color w:val="000000"/>
                <w:szCs w:val="24"/>
                <w:shd w:val="clear" w:color="auto" w:fill="FFFFFF"/>
              </w:rPr>
              <w:t xml:space="preserve"> be kita ko, kiek tai susiję su tarifais, autentiškumo patvirtinimo ir mokėjimo metodais bei kitomis naudojimo sąlygomis,</w:t>
            </w:r>
            <w:r>
              <w:rPr>
                <w:szCs w:val="24"/>
              </w:rPr>
              <w:t xml:space="preserve"> visiems naudotojams.</w:t>
            </w:r>
          </w:p>
          <w:p w14:paraId="25F211BA" w14:textId="77777777" w:rsidR="00485716" w:rsidRDefault="00273E27">
            <w:pPr>
              <w:jc w:val="both"/>
              <w:rPr>
                <w:szCs w:val="24"/>
              </w:rPr>
            </w:pPr>
            <w:r>
              <w:rPr>
                <w:szCs w:val="24"/>
              </w:rPr>
              <w:t>5.4.</w:t>
            </w:r>
            <w:r>
              <w:rPr>
                <w:szCs w:val="24"/>
              </w:rPr>
              <w:tab/>
              <w:t xml:space="preserve"> JP projekto įgyvendinimo metu turi būti laikomasi klimato ir aplinkos apsaugos standartų,</w:t>
            </w:r>
            <w:r>
              <w:rPr>
                <w:szCs w:val="24"/>
                <w:shd w:val="clear" w:color="auto" w:fill="FFFFFF"/>
                <w:lang w:eastAsia="lt-LT"/>
              </w:rPr>
              <w:t xml:space="preserve"> atsižvelgiant į Sutarties dėl Europos Sąjungos veikimo </w:t>
            </w:r>
            <w:r>
              <w:rPr>
                <w:szCs w:val="24"/>
                <w:shd w:val="clear" w:color="auto" w:fill="FFFFFF"/>
                <w:lang w:eastAsia="lt-LT"/>
              </w:rPr>
              <w:br/>
              <w:t xml:space="preserve">11 straipsnį, Jungtinių Tautų darnaus vystymosi tikslus, Jungtinių Tautų bendrosios klimato kaitos konvencijos Paryžiaus susitarimą. Jokia projekto veikla neturi būti daroma reikšmingos žalos </w:t>
            </w:r>
            <w:r>
              <w:rPr>
                <w:rFonts w:eastAsia="Calibri"/>
                <w:bCs/>
                <w:szCs w:val="24"/>
              </w:rPr>
              <w:t>6 aplinkos tikslams, nurodytiems 2020 m. birželio 18 d. Europos Parlamento ir Tarybos reglamento (ES) 2020/852 dėl sistemos tvariam investavimui palengvinti sukūrimo, kuriuo iš dalies keičiamas Reglamentas (ES) 2019/2088, 17 straipsnyje.</w:t>
            </w:r>
          </w:p>
          <w:p w14:paraId="529EC3A4" w14:textId="77777777" w:rsidR="00485716" w:rsidRDefault="00273E27">
            <w:pPr>
              <w:jc w:val="both"/>
              <w:rPr>
                <w:szCs w:val="24"/>
              </w:rPr>
            </w:pPr>
            <w:r>
              <w:rPr>
                <w:szCs w:val="24"/>
              </w:rPr>
              <w:t>5.5.</w:t>
            </w:r>
            <w:r>
              <w:rPr>
                <w:szCs w:val="24"/>
              </w:rPr>
              <w:tab/>
            </w:r>
            <w:r>
              <w:rPr>
                <w:rFonts w:eastAsia="Calibri"/>
                <w:bCs/>
                <w:szCs w:val="24"/>
              </w:rPr>
              <w:t xml:space="preserve"> JP p</w:t>
            </w:r>
            <w:r>
              <w:rPr>
                <w:szCs w:val="24"/>
              </w:rPr>
              <w:t>rojekto atitikties reikšmingos žalos nedarymo HP vertinimo reikalavimai pateikiami Aprašo 1 priede.</w:t>
            </w:r>
          </w:p>
        </w:tc>
      </w:tr>
      <w:tr w:rsidR="00485716" w14:paraId="71836591" w14:textId="77777777">
        <w:tc>
          <w:tcPr>
            <w:tcW w:w="15021" w:type="dxa"/>
          </w:tcPr>
          <w:p w14:paraId="1A6A0D0D" w14:textId="77777777" w:rsidR="00485716" w:rsidRDefault="00273E27">
            <w:pPr>
              <w:jc w:val="both"/>
              <w:rPr>
                <w:b/>
                <w:iCs/>
                <w:szCs w:val="24"/>
              </w:rPr>
            </w:pPr>
            <w:r>
              <w:rPr>
                <w:b/>
                <w:iCs/>
                <w:szCs w:val="24"/>
              </w:rPr>
              <w:lastRenderedPageBreak/>
              <w:t>6. Europos Sąjungos pagrindinių teisių chartijos (toliau – Chartija) reikalavimai</w:t>
            </w:r>
          </w:p>
        </w:tc>
      </w:tr>
      <w:tr w:rsidR="00485716" w14:paraId="238070B4" w14:textId="77777777">
        <w:tc>
          <w:tcPr>
            <w:tcW w:w="15021" w:type="dxa"/>
          </w:tcPr>
          <w:p w14:paraId="58DC4E35" w14:textId="77777777" w:rsidR="00485716" w:rsidRDefault="00273E27">
            <w:pPr>
              <w:jc w:val="both"/>
              <w:rPr>
                <w:szCs w:val="24"/>
              </w:rPr>
            </w:pPr>
            <w:r>
              <w:rPr>
                <w:szCs w:val="24"/>
              </w:rPr>
              <w:t>6.1.</w:t>
            </w:r>
            <w:r>
              <w:rPr>
                <w:szCs w:val="24"/>
              </w:rPr>
              <w:tab/>
              <w:t xml:space="preserve"> Pagal Aprašą finansuojamos veiklos nepažeidžia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16B11BB3" w14:textId="77777777" w:rsidR="00485716" w:rsidRDefault="00273E27">
            <w:pPr>
              <w:jc w:val="both"/>
              <w:rPr>
                <w:szCs w:val="24"/>
              </w:rPr>
            </w:pPr>
            <w:r>
              <w:rPr>
                <w:szCs w:val="24"/>
              </w:rPr>
              <w:t>6.2.</w:t>
            </w:r>
            <w:r>
              <w:rPr>
                <w:szCs w:val="24"/>
              </w:rPr>
              <w:tab/>
              <w:t xml:space="preserve"> Įgyvendinant JP projekto veiklas negali būti pažeista</w:t>
            </w:r>
            <w:r>
              <w:rPr>
                <w:szCs w:val="24"/>
                <w:shd w:val="clear" w:color="auto" w:fill="FFFFFF"/>
              </w:rPr>
              <w:t xml:space="preserve"> Chartijoje įtvirtinta teisė į nuosavybę (žemę, kilnojamąjį turtą, materialųjį ir nematerialųjį turtą).</w:t>
            </w:r>
          </w:p>
        </w:tc>
      </w:tr>
      <w:tr w:rsidR="00485716" w14:paraId="22CF1279" w14:textId="77777777">
        <w:tc>
          <w:tcPr>
            <w:tcW w:w="15021" w:type="dxa"/>
          </w:tcPr>
          <w:p w14:paraId="11707898" w14:textId="77777777" w:rsidR="00485716" w:rsidRDefault="00273E27">
            <w:pPr>
              <w:rPr>
                <w:b/>
                <w:szCs w:val="24"/>
              </w:rPr>
            </w:pPr>
            <w:r>
              <w:rPr>
                <w:b/>
                <w:szCs w:val="24"/>
              </w:rPr>
              <w:t>7. Apskritis, kurioje gali būti įgyvendinami projektai</w:t>
            </w:r>
          </w:p>
        </w:tc>
      </w:tr>
      <w:tr w:rsidR="00485716" w14:paraId="2D3266F6" w14:textId="77777777">
        <w:tc>
          <w:tcPr>
            <w:tcW w:w="15021" w:type="dxa"/>
          </w:tcPr>
          <w:p w14:paraId="7D0468B8" w14:textId="77777777" w:rsidR="00485716" w:rsidRDefault="00273E27">
            <w:pPr>
              <w:jc w:val="both"/>
              <w:rPr>
                <w:i/>
                <w:szCs w:val="24"/>
              </w:rPr>
            </w:pPr>
            <w:r>
              <w:rPr>
                <w:szCs w:val="24"/>
              </w:rPr>
              <w:t>Netaikomas.</w:t>
            </w:r>
          </w:p>
        </w:tc>
      </w:tr>
      <w:tr w:rsidR="00485716" w14:paraId="274B69A8" w14:textId="77777777">
        <w:tc>
          <w:tcPr>
            <w:tcW w:w="15021" w:type="dxa"/>
          </w:tcPr>
          <w:p w14:paraId="01A4B89F" w14:textId="77777777" w:rsidR="00485716" w:rsidRDefault="00273E27">
            <w:pPr>
              <w:jc w:val="both"/>
              <w:rPr>
                <w:b/>
                <w:szCs w:val="24"/>
              </w:rPr>
            </w:pPr>
            <w:r>
              <w:rPr>
                <w:b/>
                <w:szCs w:val="24"/>
              </w:rPr>
              <w:t xml:space="preserve">8. Reikalavimai valstybės pagalbai </w:t>
            </w:r>
          </w:p>
        </w:tc>
      </w:tr>
      <w:tr w:rsidR="00485716" w14:paraId="01343B81" w14:textId="77777777">
        <w:trPr>
          <w:trHeight w:val="274"/>
        </w:trPr>
        <w:tc>
          <w:tcPr>
            <w:tcW w:w="15021" w:type="dxa"/>
          </w:tcPr>
          <w:p w14:paraId="132106DC" w14:textId="77777777" w:rsidR="00643319" w:rsidRPr="00643319" w:rsidRDefault="00643319" w:rsidP="00643319">
            <w:pPr>
              <w:tabs>
                <w:tab w:val="left" w:pos="451"/>
              </w:tabs>
              <w:jc w:val="both"/>
              <w:rPr>
                <w:szCs w:val="24"/>
              </w:rPr>
            </w:pPr>
            <w:r w:rsidRPr="00643319">
              <w:rPr>
                <w:szCs w:val="24"/>
              </w:rPr>
              <w:t>8.1.</w:t>
            </w:r>
            <w:r w:rsidRPr="00643319">
              <w:rPr>
                <w:szCs w:val="24"/>
              </w:rPr>
              <w:tab/>
              <w:t>Valstybės pagalba JP vykdytojui neteikiama.</w:t>
            </w:r>
          </w:p>
          <w:p w14:paraId="7510E712" w14:textId="77777777" w:rsidR="00643319" w:rsidRPr="00643319" w:rsidRDefault="00643319" w:rsidP="00643319">
            <w:pPr>
              <w:tabs>
                <w:tab w:val="left" w:pos="451"/>
              </w:tabs>
              <w:jc w:val="both"/>
              <w:rPr>
                <w:szCs w:val="24"/>
              </w:rPr>
            </w:pPr>
            <w:r w:rsidRPr="00643319">
              <w:rPr>
                <w:szCs w:val="24"/>
              </w:rPr>
              <w:t>8.2.</w:t>
            </w:r>
            <w:r w:rsidRPr="00643319">
              <w:rPr>
                <w:szCs w:val="24"/>
              </w:rPr>
              <w:tab/>
              <w:t xml:space="preserve">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Reglamento (ES) Nr. 651/2014 36a straipsnį, Sostinės regione negali sudaryti daugiau kaip 25 </w:t>
            </w:r>
            <w:r w:rsidRPr="00643319">
              <w:rPr>
                <w:szCs w:val="24"/>
              </w:rPr>
              <w:lastRenderedPageBreak/>
              <w:t>proc. didelėms įmonėms, 45 proc. vidutinei įmonei ir 55 proc. mažai įmonei, o Vidurio ir vakarų Lietuvos regione – 35 proc. didelėms įmonėms, 55 proc. vidutinei įmonei ir 60 proc. mažai įmonei elektromobilių įkrovimo stotelės su prieiga (-</w:t>
            </w:r>
            <w:proofErr w:type="spellStart"/>
            <w:r w:rsidRPr="00643319">
              <w:rPr>
                <w:szCs w:val="24"/>
              </w:rPr>
              <w:t>omis</w:t>
            </w:r>
            <w:proofErr w:type="spellEnd"/>
            <w:r w:rsidRPr="00643319">
              <w:rPr>
                <w:szCs w:val="24"/>
              </w:rPr>
              <w:t>) fiksuoto vieneto įkainio.</w:t>
            </w:r>
          </w:p>
          <w:p w14:paraId="247D8820" w14:textId="77777777" w:rsidR="00643319" w:rsidRPr="00643319" w:rsidRDefault="00643319" w:rsidP="00643319">
            <w:pPr>
              <w:tabs>
                <w:tab w:val="left" w:pos="451"/>
              </w:tabs>
              <w:jc w:val="both"/>
              <w:rPr>
                <w:szCs w:val="24"/>
              </w:rPr>
            </w:pPr>
            <w:r w:rsidRPr="00643319">
              <w:rPr>
                <w:szCs w:val="24"/>
              </w:rPr>
              <w:t>8.3.</w:t>
            </w:r>
            <w:r w:rsidRPr="00643319">
              <w:rPr>
                <w:szCs w:val="24"/>
              </w:rPr>
              <w:tab/>
              <w:t>JP projektų valstybės pagalbos atitikties Reglamento (ES) Nr. 651/2014 nuostatoms vertinimą atlieka JP vykdytojas pagal Projektų atitikties valstybės pagalbos taisyklėms patikros lape (Aprašo 2 priedas) nurodytus vertinimo kriterijus.</w:t>
            </w:r>
          </w:p>
          <w:p w14:paraId="7EDC091D" w14:textId="77777777" w:rsidR="00643319" w:rsidRPr="00643319" w:rsidRDefault="00643319" w:rsidP="00643319">
            <w:pPr>
              <w:tabs>
                <w:tab w:val="left" w:pos="451"/>
              </w:tabs>
              <w:jc w:val="both"/>
              <w:rPr>
                <w:szCs w:val="24"/>
              </w:rPr>
            </w:pPr>
            <w:r w:rsidRPr="00643319">
              <w:rPr>
                <w:szCs w:val="24"/>
              </w:rPr>
              <w:t>8.4.</w:t>
            </w:r>
            <w:r w:rsidRPr="00643319">
              <w:rPr>
                <w:szCs w:val="24"/>
              </w:rPr>
              <w:tab/>
              <w:t>Valstybės pagalba neteikiama:</w:t>
            </w:r>
          </w:p>
          <w:p w14:paraId="5A56A767" w14:textId="77777777" w:rsidR="00643319" w:rsidRPr="00643319" w:rsidRDefault="00643319" w:rsidP="00643319">
            <w:pPr>
              <w:tabs>
                <w:tab w:val="left" w:pos="451"/>
              </w:tabs>
              <w:jc w:val="both"/>
              <w:rPr>
                <w:szCs w:val="24"/>
              </w:rPr>
            </w:pPr>
            <w:r w:rsidRPr="00643319">
              <w:rPr>
                <w:szCs w:val="24"/>
              </w:rPr>
              <w:t>8.4.1.</w:t>
            </w:r>
            <w:r w:rsidRPr="00643319">
              <w:rPr>
                <w:szCs w:val="24"/>
              </w:rPr>
              <w:tab/>
              <w:t xml:space="preserve"> sunkumus patiriančioms įmonėms;</w:t>
            </w:r>
          </w:p>
          <w:p w14:paraId="4960FCA6" w14:textId="77777777" w:rsidR="00643319" w:rsidRPr="00643319" w:rsidRDefault="00643319" w:rsidP="00643319">
            <w:pPr>
              <w:tabs>
                <w:tab w:val="left" w:pos="451"/>
              </w:tabs>
              <w:jc w:val="both"/>
              <w:rPr>
                <w:szCs w:val="24"/>
              </w:rPr>
            </w:pPr>
            <w:r w:rsidRPr="00643319">
              <w:rPr>
                <w:szCs w:val="24"/>
              </w:rPr>
              <w:t>8.4.2.</w:t>
            </w:r>
            <w:r w:rsidRPr="00643319">
              <w:rPr>
                <w:szCs w:val="24"/>
              </w:rPr>
              <w:tab/>
              <w:t>ūkio subjektams, kuriems išduotas vykdomasis raštas sumoms išieškoti pagal ankstesnį Komisijos sprendimą, kuriame Lietuvos institucijų suteikta pagalba skelbiama neteisėta ir nesuderinama su vidaus rinka; nauja valstybės pagalba negali būti teikiama iki nebus sugrąžinta neteisėta ir nesuderinama su vidaus rinka Lietuvoje gauta valstybės pagalba;</w:t>
            </w:r>
          </w:p>
          <w:p w14:paraId="28C94B2A" w14:textId="77777777" w:rsidR="00643319" w:rsidRPr="00643319" w:rsidRDefault="00643319" w:rsidP="00643319">
            <w:pPr>
              <w:tabs>
                <w:tab w:val="left" w:pos="451"/>
              </w:tabs>
              <w:jc w:val="both"/>
              <w:rPr>
                <w:szCs w:val="24"/>
              </w:rPr>
            </w:pPr>
            <w:r w:rsidRPr="00643319">
              <w:rPr>
                <w:szCs w:val="24"/>
              </w:rPr>
              <w:t>8.4.3.</w:t>
            </w:r>
            <w:r w:rsidRPr="00643319">
              <w:rPr>
                <w:szCs w:val="24"/>
              </w:rPr>
              <w:tab/>
              <w:t xml:space="preserve"> ūkio subjektams, vykdantiems veiklą žuvininkystės ir akvakultūros sektoriuje, patenkantiems į Reglamento (ES) Nr. 651/2014 1 straipsnio 3 punkto a dalies taikymo sritį;</w:t>
            </w:r>
          </w:p>
          <w:p w14:paraId="4D556273" w14:textId="77777777" w:rsidR="00643319" w:rsidRPr="00643319" w:rsidRDefault="00643319" w:rsidP="00643319">
            <w:pPr>
              <w:tabs>
                <w:tab w:val="left" w:pos="451"/>
              </w:tabs>
              <w:jc w:val="both"/>
              <w:rPr>
                <w:szCs w:val="24"/>
              </w:rPr>
            </w:pPr>
            <w:r w:rsidRPr="00643319">
              <w:rPr>
                <w:szCs w:val="24"/>
              </w:rPr>
              <w:t>8.4.4.</w:t>
            </w:r>
            <w:r w:rsidRPr="00643319">
              <w:rPr>
                <w:szCs w:val="24"/>
              </w:rPr>
              <w:tab/>
              <w:t xml:space="preserve"> jei vienos įmonės vienam investiciniam projektui pagalbos dydis viršytų 4 000 000 (keturis milijonus) eurų (Reglamento (ES) Nr. 651/2014 36a straipsnio 7 dalis ir 4 straipsnio 1 dalies </w:t>
            </w:r>
            <w:proofErr w:type="spellStart"/>
            <w:r w:rsidRPr="00643319">
              <w:rPr>
                <w:szCs w:val="24"/>
              </w:rPr>
              <w:t>sb</w:t>
            </w:r>
            <w:proofErr w:type="spellEnd"/>
            <w:r w:rsidRPr="00643319">
              <w:rPr>
                <w:szCs w:val="24"/>
              </w:rPr>
              <w:t xml:space="preserve"> punktas);</w:t>
            </w:r>
          </w:p>
          <w:p w14:paraId="5FAEA799" w14:textId="77777777" w:rsidR="00643319" w:rsidRPr="00643319" w:rsidRDefault="00643319" w:rsidP="00643319">
            <w:pPr>
              <w:tabs>
                <w:tab w:val="left" w:pos="451"/>
              </w:tabs>
              <w:jc w:val="both"/>
              <w:rPr>
                <w:szCs w:val="24"/>
              </w:rPr>
            </w:pPr>
            <w:r w:rsidRPr="00643319">
              <w:rPr>
                <w:szCs w:val="24"/>
              </w:rPr>
              <w:t>8.4.5.</w:t>
            </w:r>
            <w:r w:rsidRPr="00643319">
              <w:rPr>
                <w:szCs w:val="24"/>
              </w:rPr>
              <w:tab/>
              <w:t xml:space="preserve"> jei pagalbos suteikimas būtų susietas su įpareigojimu pagalbos gavėjui turėti būstinę Lietuvoje arba būti iš esmės įsisteigusiam Lietuvoje ar su įpareigojimu pagalbos gavėjui naudoti Lietuvoje pagamintas prekes arba teikiamas paslaugas ar būtų ribojamos pagalbos gavėjų galimybės naudoti mokslinių tyrimų, technologinės plėtros ir inovacijų rezultatus kitose valstybėse narėse (Reglamento (ES) Nr. 651/2014 1 straipsnio 5 dalis);</w:t>
            </w:r>
          </w:p>
          <w:p w14:paraId="4A607FE8" w14:textId="77777777" w:rsidR="00643319" w:rsidRPr="00643319" w:rsidRDefault="00643319" w:rsidP="00643319">
            <w:pPr>
              <w:tabs>
                <w:tab w:val="left" w:pos="451"/>
              </w:tabs>
              <w:jc w:val="both"/>
              <w:rPr>
                <w:szCs w:val="24"/>
              </w:rPr>
            </w:pPr>
            <w:r w:rsidRPr="00643319">
              <w:rPr>
                <w:szCs w:val="24"/>
              </w:rPr>
              <w:t>8.4.6.</w:t>
            </w:r>
            <w:r w:rsidRPr="00643319">
              <w:rPr>
                <w:szCs w:val="24"/>
              </w:rPr>
              <w:tab/>
              <w:t xml:space="preserve"> jei pagalba būtų teikiama branduolinės energijos gamybai (Reglamento (ES) Nr. 651/2014 1 straipsnio 6 dalis);</w:t>
            </w:r>
          </w:p>
          <w:p w14:paraId="7317D3A0" w14:textId="77777777" w:rsidR="00643319" w:rsidRPr="00643319" w:rsidRDefault="00643319" w:rsidP="00643319">
            <w:pPr>
              <w:tabs>
                <w:tab w:val="left" w:pos="451"/>
              </w:tabs>
              <w:jc w:val="both"/>
              <w:rPr>
                <w:szCs w:val="24"/>
              </w:rPr>
            </w:pPr>
            <w:r w:rsidRPr="00643319">
              <w:rPr>
                <w:szCs w:val="24"/>
              </w:rPr>
              <w:t>8.4.7.</w:t>
            </w:r>
            <w:r w:rsidRPr="00643319">
              <w:rPr>
                <w:szCs w:val="24"/>
              </w:rPr>
              <w:tab/>
              <w:t xml:space="preserve"> jei ji neturi skatinamojo poveikio, nustatyto Reglamento (ES) Nr. 651/2014 6 straipsnyje. </w:t>
            </w:r>
          </w:p>
          <w:p w14:paraId="741E93FD" w14:textId="77777777" w:rsidR="00643319" w:rsidRPr="00643319" w:rsidRDefault="00643319" w:rsidP="00643319">
            <w:pPr>
              <w:tabs>
                <w:tab w:val="left" w:pos="451"/>
              </w:tabs>
              <w:jc w:val="both"/>
              <w:rPr>
                <w:szCs w:val="24"/>
              </w:rPr>
            </w:pPr>
            <w:r w:rsidRPr="00643319">
              <w:rPr>
                <w:szCs w:val="24"/>
              </w:rPr>
              <w:t>8.5.</w:t>
            </w:r>
            <w:r w:rsidRPr="00643319">
              <w:rPr>
                <w:szCs w:val="24"/>
              </w:rPr>
              <w:tab/>
              <w:t>Valstybės pagalba, kurios tinkamas finansuoti išlaidas galima nustatyti ir kuriai pagal Reglamentą (ES) Nr. 651/2014 taikoma išimtis, gali būti sumuojama su:</w:t>
            </w:r>
          </w:p>
          <w:p w14:paraId="54203C48" w14:textId="77777777" w:rsidR="00643319" w:rsidRPr="00643319" w:rsidRDefault="00643319" w:rsidP="00643319">
            <w:pPr>
              <w:tabs>
                <w:tab w:val="left" w:pos="451"/>
              </w:tabs>
              <w:jc w:val="both"/>
              <w:rPr>
                <w:szCs w:val="24"/>
              </w:rPr>
            </w:pPr>
            <w:r w:rsidRPr="00643319">
              <w:rPr>
                <w:szCs w:val="24"/>
              </w:rPr>
              <w:t>8.5.1.</w:t>
            </w:r>
            <w:r w:rsidRPr="00643319">
              <w:rPr>
                <w:szCs w:val="24"/>
              </w:rPr>
              <w:tab/>
              <w:t xml:space="preserve"> bet kokia kita valstybės pagalba, jei tos veiklos yra susijusios su skirtingomis tinkamomis finansuoti išlaidomis, kurias galima nustatyti;</w:t>
            </w:r>
          </w:p>
          <w:p w14:paraId="73B57B3B" w14:textId="77777777" w:rsidR="00643319" w:rsidRPr="00643319" w:rsidRDefault="00643319" w:rsidP="00643319">
            <w:pPr>
              <w:tabs>
                <w:tab w:val="left" w:pos="451"/>
              </w:tabs>
              <w:jc w:val="both"/>
              <w:rPr>
                <w:szCs w:val="24"/>
              </w:rPr>
            </w:pPr>
            <w:r w:rsidRPr="00643319">
              <w:rPr>
                <w:szCs w:val="24"/>
              </w:rPr>
              <w:t>8.5.2.</w:t>
            </w:r>
            <w:r w:rsidRPr="00643319">
              <w:rPr>
                <w:szCs w:val="24"/>
              </w:rPr>
              <w:tab/>
              <w:t xml:space="preserve"> bet kokia kita valstybės pagalba, susijusia su tomis pačiomis tinkamomis finansuoti išlaidomis, kurios iš dalies arba visiškai sutampa, tik jeigu taip susumavus didžiausia pagalbos suma neviršija Reglamento (ES) Nr. 651/2014 36a straipsnio 6 dalyje nustatytos pagalbos ribos.</w:t>
            </w:r>
          </w:p>
          <w:p w14:paraId="144587EA" w14:textId="77777777" w:rsidR="00643319" w:rsidRPr="00643319" w:rsidRDefault="00643319" w:rsidP="00643319">
            <w:pPr>
              <w:tabs>
                <w:tab w:val="left" w:pos="451"/>
              </w:tabs>
              <w:jc w:val="both"/>
              <w:rPr>
                <w:szCs w:val="24"/>
              </w:rPr>
            </w:pPr>
            <w:r w:rsidRPr="00643319">
              <w:rPr>
                <w:szCs w:val="24"/>
              </w:rPr>
              <w:t>8.6.</w:t>
            </w:r>
            <w:r w:rsidRPr="00643319">
              <w:rPr>
                <w:szCs w:val="24"/>
              </w:rPr>
              <w:tab/>
              <w:t xml:space="preserve">Valstybės pagalba, kuriai pagal Reglamentą (ES) Nr. 651/2014 taikoma išimtis, nesumuojama su jokia de </w:t>
            </w:r>
            <w:proofErr w:type="spellStart"/>
            <w:r w:rsidRPr="00643319">
              <w:rPr>
                <w:szCs w:val="24"/>
              </w:rPr>
              <w:t>minimis</w:t>
            </w:r>
            <w:proofErr w:type="spellEnd"/>
            <w:r w:rsidRPr="00643319">
              <w:rPr>
                <w:szCs w:val="24"/>
              </w:rPr>
              <w:t xml:space="preserve"> pagalba, susijusia su tomis pačiomis tinkamomis finansuoti išlaidomis, jei susumavus būtų viršytas pagalbos intensyvumas, kaip nustatyta Reglamento (ES) Nr. 651/2014 8 straipsnio 5 dalyje.</w:t>
            </w:r>
          </w:p>
          <w:p w14:paraId="4A7BCAB0" w14:textId="77777777" w:rsidR="00643319" w:rsidRPr="00643319" w:rsidRDefault="00643319" w:rsidP="00643319">
            <w:pPr>
              <w:tabs>
                <w:tab w:val="left" w:pos="451"/>
              </w:tabs>
              <w:jc w:val="both"/>
              <w:rPr>
                <w:szCs w:val="24"/>
              </w:rPr>
            </w:pPr>
            <w:r w:rsidRPr="00643319">
              <w:rPr>
                <w:szCs w:val="24"/>
              </w:rPr>
              <w:t>8.7.</w:t>
            </w:r>
            <w:r w:rsidRPr="00643319">
              <w:rPr>
                <w:szCs w:val="24"/>
              </w:rPr>
              <w:tab/>
              <w:t xml:space="preserve">Draudžiama dirbtinai skaidyti pagalbos schemas arba pagalbos projektus, kaip numatyta Reglamento (ES) Nr. 651/2014 4 straipsnio 2 dalyje, siekiant apeiti Aprašo 8.4.4 papunktyje numatytą leistiną pagalbos ribą. </w:t>
            </w:r>
          </w:p>
          <w:p w14:paraId="0A1BA200" w14:textId="77777777" w:rsidR="00643319" w:rsidRPr="00643319" w:rsidRDefault="00643319" w:rsidP="00643319">
            <w:pPr>
              <w:tabs>
                <w:tab w:val="left" w:pos="451"/>
              </w:tabs>
              <w:jc w:val="both"/>
              <w:rPr>
                <w:szCs w:val="24"/>
              </w:rPr>
            </w:pPr>
            <w:r w:rsidRPr="00643319">
              <w:rPr>
                <w:szCs w:val="24"/>
              </w:rPr>
              <w:t>8.8. Apskaičiuojant pagalbos intensyvumą ir tinkamas finansuoti išlaidas, visi naudojami skaičiai imami prieš bet kokį mokesčių ar kitokios rinkliavos atskaitymą (Reglamento (ES) Nr. 651/2014 7 straipsnio 1 dalis).</w:t>
            </w:r>
          </w:p>
          <w:p w14:paraId="6122883B" w14:textId="77777777" w:rsidR="00643319" w:rsidRPr="00643319" w:rsidRDefault="00643319" w:rsidP="00643319">
            <w:pPr>
              <w:tabs>
                <w:tab w:val="left" w:pos="451"/>
              </w:tabs>
              <w:jc w:val="both"/>
              <w:rPr>
                <w:szCs w:val="24"/>
              </w:rPr>
            </w:pPr>
            <w:r w:rsidRPr="00643319">
              <w:rPr>
                <w:szCs w:val="24"/>
              </w:rPr>
              <w:t>8.9. Ateityje mokėtina valstybės pagalba, įskaitant keliomis dalimis mokamą pagalbą, diskontuojama iki suteikimo momentu esamos jos vertės, kaip numatyta Reglamento (ES) Nr. 651/2014 7 straipsnio 3 dalyje.</w:t>
            </w:r>
          </w:p>
          <w:p w14:paraId="04D11C0D" w14:textId="77777777" w:rsidR="00643319" w:rsidRPr="00643319" w:rsidRDefault="00643319" w:rsidP="00643319">
            <w:pPr>
              <w:tabs>
                <w:tab w:val="left" w:pos="451"/>
              </w:tabs>
              <w:jc w:val="both"/>
              <w:rPr>
                <w:szCs w:val="24"/>
              </w:rPr>
            </w:pPr>
            <w:r w:rsidRPr="00643319">
              <w:rPr>
                <w:szCs w:val="24"/>
              </w:rPr>
              <w:t xml:space="preserve">8.10. JP vykdytojas JP projekto paraiškos vertinimo metu patikrina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643319">
              <w:rPr>
                <w:szCs w:val="24"/>
              </w:rPr>
              <w:t>minimis</w:t>
            </w:r>
            <w:proofErr w:type="spellEnd"/>
            <w:r w:rsidRPr="00643319">
              <w:rPr>
                <w:szCs w:val="24"/>
              </w:rPr>
              <w:t xml:space="preserve">) pagalbos registre, kurio nuostatai patvirtinti Lietuvos Respublikos Vyriausybės 2005 m. sausio 19 d. nutarimu Nr. 35 „Dėl Suteiktos valstybės pagalbos ir nereikšmingos (de </w:t>
            </w:r>
            <w:proofErr w:type="spellStart"/>
            <w:r w:rsidRPr="00643319">
              <w:rPr>
                <w:szCs w:val="24"/>
              </w:rPr>
              <w:t>minimis</w:t>
            </w:r>
            <w:proofErr w:type="spellEnd"/>
            <w:r w:rsidRPr="00643319">
              <w:rPr>
                <w:szCs w:val="24"/>
              </w:rPr>
              <w:t>) pagalbos registro nuostatų patvirtinimo“.</w:t>
            </w:r>
          </w:p>
          <w:p w14:paraId="652DBF51" w14:textId="77777777" w:rsidR="00643319" w:rsidRPr="00643319" w:rsidRDefault="00643319" w:rsidP="00643319">
            <w:pPr>
              <w:tabs>
                <w:tab w:val="left" w:pos="451"/>
              </w:tabs>
              <w:jc w:val="both"/>
              <w:rPr>
                <w:szCs w:val="24"/>
              </w:rPr>
            </w:pPr>
            <w:r w:rsidRPr="00643319">
              <w:rPr>
                <w:szCs w:val="24"/>
              </w:rPr>
              <w:lastRenderedPageBreak/>
              <w:t>8.11. JP vykdytojas ir JP projekto vykdytojas turi užtikrinti dokumentų saugojimą 10 finansinių metų nuo datos, kada paskutinį kartą pagal schemą buvo suteikta individuali pagalba, kaip nustatyta Reglamento (ES) Nr. 651/2014 12 straipsnio 1 punkte.</w:t>
            </w:r>
          </w:p>
          <w:p w14:paraId="271160CB" w14:textId="77777777" w:rsidR="00643319" w:rsidRPr="00643319" w:rsidRDefault="00643319" w:rsidP="00643319">
            <w:pPr>
              <w:tabs>
                <w:tab w:val="left" w:pos="451"/>
              </w:tabs>
              <w:jc w:val="both"/>
              <w:rPr>
                <w:szCs w:val="24"/>
              </w:rPr>
            </w:pPr>
            <w:r w:rsidRPr="00643319">
              <w:rPr>
                <w:szCs w:val="24"/>
              </w:rPr>
              <w:t>8.12. Susisiekimo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60BB0178" w14:textId="77777777" w:rsidR="00485716" w:rsidRDefault="00643319" w:rsidP="00643319">
            <w:pPr>
              <w:jc w:val="both"/>
            </w:pPr>
            <w:r w:rsidRPr="00643319">
              <w:rPr>
                <w:szCs w:val="24"/>
              </w:rPr>
              <w:t>8.13.  Susisiekimo ministerija turi užtikrinti, kad įgyvendinant valstybės pagalbos schemą, kuriai taikoma išimtis pagal Reglamentą (ES) Nr. 651/2014, vadovaujantis šio reglamento 11 straipsnyje nustatyta tvarka, Europos Komisijai būtų perduodama informacijos apie tokią pagalbą santrauka pagal šio reglamento II priede pateiktą standartinę formą. Užpildyta forma Europos Komisijai perduodama per Lietuvos Re</w:t>
            </w:r>
            <w:r>
              <w:rPr>
                <w:szCs w:val="24"/>
              </w:rPr>
              <w:t>spublikos konkurencijos tarybą.</w:t>
            </w:r>
          </w:p>
        </w:tc>
      </w:tr>
      <w:tr w:rsidR="00485716" w14:paraId="3C2525CC" w14:textId="77777777">
        <w:tc>
          <w:tcPr>
            <w:tcW w:w="15021" w:type="dxa"/>
          </w:tcPr>
          <w:p w14:paraId="4BDB6E59" w14:textId="77777777" w:rsidR="00485716" w:rsidRDefault="00273E27">
            <w:pPr>
              <w:jc w:val="both"/>
              <w:rPr>
                <w:i/>
                <w:szCs w:val="24"/>
              </w:rPr>
            </w:pPr>
            <w:r>
              <w:rPr>
                <w:b/>
                <w:szCs w:val="24"/>
              </w:rPr>
              <w:lastRenderedPageBreak/>
              <w:t>9. Projektų atrankos kriterijai</w:t>
            </w:r>
          </w:p>
        </w:tc>
      </w:tr>
      <w:tr w:rsidR="00485716" w14:paraId="2D59BC2F" w14:textId="77777777">
        <w:trPr>
          <w:trHeight w:val="455"/>
        </w:trPr>
        <w:tc>
          <w:tcPr>
            <w:tcW w:w="15021" w:type="dxa"/>
          </w:tcPr>
          <w:p w14:paraId="7827E3C4" w14:textId="77777777" w:rsidR="00485716" w:rsidRDefault="00273E27">
            <w:pPr>
              <w:jc w:val="both"/>
              <w:rPr>
                <w:i/>
                <w:sz w:val="22"/>
                <w:szCs w:val="22"/>
              </w:rPr>
            </w:pPr>
            <w:r>
              <w:t>Projektų specialieji ir (arba) prioritetiniai atrankos kriterijai netaikomi.</w:t>
            </w:r>
          </w:p>
        </w:tc>
      </w:tr>
      <w:tr w:rsidR="00485716" w14:paraId="7FFEC6AA" w14:textId="77777777">
        <w:trPr>
          <w:trHeight w:val="309"/>
        </w:trPr>
        <w:tc>
          <w:tcPr>
            <w:tcW w:w="15021" w:type="dxa"/>
          </w:tcPr>
          <w:p w14:paraId="669512CA" w14:textId="77777777" w:rsidR="00485716" w:rsidRDefault="00273E27">
            <w:pPr>
              <w:jc w:val="both"/>
              <w:rPr>
                <w:i/>
                <w:sz w:val="22"/>
                <w:szCs w:val="22"/>
              </w:rPr>
            </w:pPr>
            <w:r>
              <w:rPr>
                <w:b/>
                <w:szCs w:val="22"/>
              </w:rPr>
              <w:t xml:space="preserve">10. Jungtinio projekto projektų atrankos kriterijai </w:t>
            </w:r>
          </w:p>
        </w:tc>
      </w:tr>
      <w:tr w:rsidR="00485716" w14:paraId="00560EBD" w14:textId="77777777">
        <w:trPr>
          <w:trHeight w:val="429"/>
        </w:trPr>
        <w:tc>
          <w:tcPr>
            <w:tcW w:w="15021" w:type="dxa"/>
          </w:tcPr>
          <w:p w14:paraId="6C186E8D" w14:textId="77777777" w:rsidR="00485716" w:rsidRDefault="00273E27">
            <w:pPr>
              <w:jc w:val="both"/>
              <w:rPr>
                <w:iCs/>
                <w:sz w:val="22"/>
                <w:szCs w:val="22"/>
              </w:rPr>
            </w:pPr>
            <w:r>
              <w:t>Projektų specialieji ir (arba) prioritetiniai atrankos kriterijai netaikomi.</w:t>
            </w:r>
          </w:p>
        </w:tc>
      </w:tr>
      <w:tr w:rsidR="00485716" w14:paraId="4C264F03" w14:textId="77777777">
        <w:tc>
          <w:tcPr>
            <w:tcW w:w="15021" w:type="dxa"/>
          </w:tcPr>
          <w:p w14:paraId="0080115A" w14:textId="77777777" w:rsidR="00485716" w:rsidRDefault="00273E27">
            <w:pPr>
              <w:rPr>
                <w:b/>
                <w:szCs w:val="24"/>
              </w:rPr>
            </w:pPr>
            <w:r>
              <w:rPr>
                <w:b/>
                <w:szCs w:val="24"/>
              </w:rPr>
              <w:t xml:space="preserve">11. Reikalavimai įgyvendinus projektų veiklas </w:t>
            </w:r>
          </w:p>
        </w:tc>
      </w:tr>
      <w:tr w:rsidR="00485716" w14:paraId="0AD60260" w14:textId="77777777">
        <w:tc>
          <w:tcPr>
            <w:tcW w:w="15021" w:type="dxa"/>
          </w:tcPr>
          <w:p w14:paraId="74B1F978" w14:textId="77777777" w:rsidR="00643319" w:rsidRPr="00643319" w:rsidRDefault="00643319" w:rsidP="00643319">
            <w:pPr>
              <w:pStyle w:val="Sraopastraipa"/>
              <w:numPr>
                <w:ilvl w:val="1"/>
                <w:numId w:val="1"/>
              </w:numPr>
              <w:tabs>
                <w:tab w:val="left" w:pos="599"/>
              </w:tabs>
              <w:spacing w:after="120"/>
              <w:ind w:left="0" w:firstLine="0"/>
              <w:jc w:val="both"/>
              <w:rPr>
                <w:szCs w:val="24"/>
              </w:rPr>
            </w:pPr>
            <w:r w:rsidRPr="00643319">
              <w:rPr>
                <w:szCs w:val="24"/>
              </w:rPr>
              <w:t>Projektų taisyklių 248.2 papunktyje nurodytu laikotarpiu, t. y. 5 metus nuo JP finansavimo pabaigos, turi būti užtikrintas investicijų tęstinumas Projektų taisyklių IV skyriaus dešimtajame skirsnyje nustatyta tvarka.</w:t>
            </w:r>
          </w:p>
          <w:p w14:paraId="6ABC6BC6" w14:textId="77777777" w:rsidR="00643319" w:rsidRPr="00643319" w:rsidRDefault="00643319" w:rsidP="00643319">
            <w:pPr>
              <w:pStyle w:val="Sraopastraipa"/>
              <w:numPr>
                <w:ilvl w:val="1"/>
                <w:numId w:val="1"/>
              </w:numPr>
              <w:tabs>
                <w:tab w:val="left" w:pos="599"/>
              </w:tabs>
              <w:spacing w:after="120"/>
              <w:ind w:left="0" w:firstLine="0"/>
              <w:jc w:val="both"/>
              <w:rPr>
                <w:szCs w:val="24"/>
              </w:rPr>
            </w:pPr>
            <w:r w:rsidRPr="00643319">
              <w:rPr>
                <w:szCs w:val="24"/>
              </w:rPr>
              <w:t xml:space="preserve"> Pareiškėjas turi užtikrinti, kad ilgalaikis materialusis turtas, kuris įsigytas ar sukurtas iš JP projektui skirtų lėšų, būtų naudojamas ir prižiūrimas vadovaujantis gamintojo rekomendacijomis ir visą Aprašo 11.1 papunktyje nurodytą laikotarpį jo būklė atitiktų Tyrime ir Apraše nustatytus techninius reikalavimus. </w:t>
            </w:r>
          </w:p>
          <w:p w14:paraId="597F7C72" w14:textId="77777777" w:rsidR="00485716" w:rsidRPr="00643319" w:rsidRDefault="00643319" w:rsidP="00643319">
            <w:pPr>
              <w:tabs>
                <w:tab w:val="left" w:pos="599"/>
              </w:tabs>
              <w:jc w:val="both"/>
              <w:rPr>
                <w:szCs w:val="24"/>
              </w:rPr>
            </w:pPr>
            <w:r w:rsidRPr="00643319">
              <w:rPr>
                <w:szCs w:val="24"/>
              </w:rPr>
              <w:t>11.3. Pareiškėjas įsipareigoja be JP vykdytojo sutikimo neparduoti ar kitaip neperleisti kitam fiziniam ar juridiniam asmeniui elektromobilių įkrovimo stotelės (-</w:t>
            </w:r>
            <w:proofErr w:type="spellStart"/>
            <w:r w:rsidRPr="00643319">
              <w:rPr>
                <w:szCs w:val="24"/>
              </w:rPr>
              <w:t>ių</w:t>
            </w:r>
            <w:proofErr w:type="spellEnd"/>
            <w:r w:rsidRPr="00643319">
              <w:rPr>
                <w:szCs w:val="24"/>
              </w:rPr>
              <w:t>) su prieiga (-</w:t>
            </w:r>
            <w:proofErr w:type="spellStart"/>
            <w:r w:rsidRPr="00643319">
              <w:rPr>
                <w:szCs w:val="24"/>
              </w:rPr>
              <w:t>omis</w:t>
            </w:r>
            <w:proofErr w:type="spellEnd"/>
            <w:r w:rsidRPr="00643319">
              <w:rPr>
                <w:szCs w:val="24"/>
              </w:rPr>
              <w:t>), už kurią (-</w:t>
            </w:r>
            <w:proofErr w:type="spellStart"/>
            <w:r w:rsidRPr="00643319">
              <w:rPr>
                <w:szCs w:val="24"/>
              </w:rPr>
              <w:t>ias</w:t>
            </w:r>
            <w:proofErr w:type="spellEnd"/>
            <w:r w:rsidRPr="00643319">
              <w:rPr>
                <w:szCs w:val="24"/>
              </w:rPr>
              <w:t>) skirta kompensacija, Aprašo 11.1 papunktyje nurodytą laikotarpį.</w:t>
            </w:r>
          </w:p>
        </w:tc>
      </w:tr>
      <w:tr w:rsidR="00485716" w14:paraId="78F61B85" w14:textId="77777777">
        <w:tc>
          <w:tcPr>
            <w:tcW w:w="15021" w:type="dxa"/>
          </w:tcPr>
          <w:p w14:paraId="4F25D200" w14:textId="77777777" w:rsidR="00485716" w:rsidRDefault="00273E27">
            <w:pPr>
              <w:rPr>
                <w:szCs w:val="24"/>
              </w:rPr>
            </w:pPr>
            <w:r>
              <w:rPr>
                <w:b/>
                <w:szCs w:val="24"/>
              </w:rPr>
              <w:t>12. Kiti reikalavimai</w:t>
            </w:r>
          </w:p>
        </w:tc>
      </w:tr>
      <w:tr w:rsidR="00485716" w14:paraId="2F1D002A" w14:textId="77777777">
        <w:tc>
          <w:tcPr>
            <w:tcW w:w="15021" w:type="dxa"/>
          </w:tcPr>
          <w:p w14:paraId="148AAF23" w14:textId="77777777" w:rsidR="00485716" w:rsidRDefault="00273E27">
            <w:pPr>
              <w:tabs>
                <w:tab w:val="left" w:pos="594"/>
              </w:tabs>
              <w:jc w:val="both"/>
              <w:rPr>
                <w:szCs w:val="24"/>
              </w:rPr>
            </w:pPr>
            <w:r>
              <w:rPr>
                <w:iCs/>
                <w:szCs w:val="24"/>
              </w:rPr>
              <w:t>12.1.</w:t>
            </w:r>
            <w:r>
              <w:rPr>
                <w:iCs/>
                <w:szCs w:val="24"/>
              </w:rPr>
              <w:tab/>
            </w:r>
            <w:r>
              <w:rPr>
                <w:szCs w:val="24"/>
              </w:rPr>
              <w:t xml:space="preserve"> Įgyvendinant JP, kurio vertė viršija 10 000 000 (dešimt milijonų) eurų, papildomai JP vykdytojas turi surengti ne mažiau kaip vieną komunikacinį renginį ar įgyvendinti kitą komunikacinę veiklą, į kuriuos laiku (prieš 2, 3 mėn.) būtų pakviesti ar įtraukti Europos Komisijos ir vadovaujančiosios institucijos atstovai. </w:t>
            </w:r>
          </w:p>
          <w:p w14:paraId="276D81E5" w14:textId="77777777" w:rsidR="00485716" w:rsidRDefault="00273E27">
            <w:pPr>
              <w:tabs>
                <w:tab w:val="left" w:pos="594"/>
              </w:tabs>
              <w:jc w:val="both"/>
              <w:rPr>
                <w:i/>
                <w:szCs w:val="24"/>
              </w:rPr>
            </w:pPr>
            <w:r>
              <w:rPr>
                <w:iCs/>
                <w:szCs w:val="24"/>
              </w:rPr>
              <w:t>12.2.</w:t>
            </w:r>
            <w:r>
              <w:rPr>
                <w:iCs/>
                <w:szCs w:val="24"/>
              </w:rPr>
              <w:tab/>
            </w:r>
            <w:r>
              <w:rPr>
                <w:szCs w:val="24"/>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485716" w14:paraId="2DA454A3" w14:textId="77777777">
        <w:tc>
          <w:tcPr>
            <w:tcW w:w="15021" w:type="dxa"/>
          </w:tcPr>
          <w:p w14:paraId="069C1A29" w14:textId="77777777" w:rsidR="00485716" w:rsidRDefault="00273E27">
            <w:pPr>
              <w:rPr>
                <w:b/>
                <w:szCs w:val="24"/>
              </w:rPr>
            </w:pPr>
            <w:r>
              <w:rPr>
                <w:b/>
                <w:szCs w:val="24"/>
              </w:rPr>
              <w:t>IŠLAIDŲ TINKAMUMO FINANSUOTI REIKALAVIMAI</w:t>
            </w:r>
          </w:p>
        </w:tc>
      </w:tr>
      <w:tr w:rsidR="00485716" w14:paraId="524ABF7C" w14:textId="77777777">
        <w:tc>
          <w:tcPr>
            <w:tcW w:w="15021" w:type="dxa"/>
          </w:tcPr>
          <w:p w14:paraId="144FBE78" w14:textId="77777777" w:rsidR="00485716" w:rsidRDefault="00273E27">
            <w:pPr>
              <w:jc w:val="both"/>
              <w:rPr>
                <w:b/>
                <w:szCs w:val="24"/>
              </w:rPr>
            </w:pPr>
            <w:r>
              <w:rPr>
                <w:b/>
                <w:szCs w:val="24"/>
              </w:rPr>
              <w:t>13. Išlaidų tinkamumo finansuoti reikalavimai</w:t>
            </w:r>
          </w:p>
        </w:tc>
      </w:tr>
      <w:tr w:rsidR="00485716" w14:paraId="101FB775" w14:textId="77777777">
        <w:tc>
          <w:tcPr>
            <w:tcW w:w="15021" w:type="dxa"/>
          </w:tcPr>
          <w:p w14:paraId="18A0D33D" w14:textId="77777777" w:rsidR="00485716" w:rsidRDefault="00273E27">
            <w:pPr>
              <w:tabs>
                <w:tab w:val="left" w:pos="594"/>
              </w:tabs>
              <w:jc w:val="both"/>
              <w:rPr>
                <w:szCs w:val="24"/>
              </w:rPr>
            </w:pPr>
            <w:r>
              <w:rPr>
                <w:szCs w:val="24"/>
              </w:rPr>
              <w:t>13.1.</w:t>
            </w:r>
            <w:r>
              <w:rPr>
                <w:szCs w:val="24"/>
              </w:rPr>
              <w:tab/>
              <w:t xml:space="preserve"> Tinkamos finansuoti JP vykdytojo išlaidos ir tinkamos finansuoti JP projekto išlaidos turi atitikti Projektų taisyklių VII skyriuje išdėstytus projekto išlaidoms taikomus reikalavimus.</w:t>
            </w:r>
          </w:p>
          <w:p w14:paraId="6CD480CE" w14:textId="77777777" w:rsidR="00485716" w:rsidRDefault="00273E27">
            <w:pPr>
              <w:tabs>
                <w:tab w:val="left" w:pos="594"/>
              </w:tabs>
              <w:jc w:val="both"/>
              <w:rPr>
                <w:szCs w:val="24"/>
              </w:rPr>
            </w:pPr>
            <w:r>
              <w:rPr>
                <w:szCs w:val="24"/>
              </w:rPr>
              <w:t>13.2.</w:t>
            </w:r>
            <w:r>
              <w:rPr>
                <w:szCs w:val="24"/>
              </w:rPr>
              <w:tab/>
              <w:t> JP vykdytojo prašymu išankstiniai (avansiniai) mokėjimai gali būti atliekami Projektų taisyklėse numatyta tvarka.</w:t>
            </w:r>
          </w:p>
          <w:p w14:paraId="2F5E6123" w14:textId="77777777" w:rsidR="00485716" w:rsidRDefault="00273E27">
            <w:pPr>
              <w:tabs>
                <w:tab w:val="left" w:pos="594"/>
              </w:tabs>
              <w:jc w:val="both"/>
              <w:rPr>
                <w:szCs w:val="24"/>
              </w:rPr>
            </w:pPr>
            <w:r>
              <w:rPr>
                <w:szCs w:val="24"/>
              </w:rPr>
              <w:lastRenderedPageBreak/>
              <w:t>13.3.</w:t>
            </w:r>
            <w:r>
              <w:rPr>
                <w:szCs w:val="24"/>
              </w:rPr>
              <w:tab/>
              <w:t xml:space="preserve"> JP projektams avanso mokėjimai neatliekami, JP vykdytojas kompensuoja dalį JP projektų tinkamų finansuoti išlaidų tik pagal Aprašo 8.2 papunktyje nurodytus ne didesnius nei nustatytus procentus nuo fiksuotųjų vieneto įkainių, pagal JP projekto pareiškėjo mokėjimo prašymus.</w:t>
            </w:r>
          </w:p>
          <w:p w14:paraId="52C150C2" w14:textId="77777777" w:rsidR="00485716" w:rsidRDefault="00273E27">
            <w:pPr>
              <w:tabs>
                <w:tab w:val="left" w:pos="594"/>
              </w:tabs>
              <w:jc w:val="both"/>
              <w:rPr>
                <w:szCs w:val="24"/>
              </w:rPr>
            </w:pPr>
            <w:r>
              <w:rPr>
                <w:szCs w:val="24"/>
              </w:rPr>
              <w:t>13.4.</w:t>
            </w:r>
            <w:r>
              <w:rPr>
                <w:szCs w:val="24"/>
              </w:rPr>
              <w:tab/>
              <w:t xml:space="preserve"> Tinkamos kompensuoti JP projekto išlaidos turi būti patirtos ir apmokėtos pareiškėjo ne vėliau kaip iki kvietimo termino pabaigos ir atitikti Tyrime nustatytas fiksuotuosius vieneto įkainius sudarančias išlaidų kategorijas.</w:t>
            </w:r>
          </w:p>
          <w:p w14:paraId="5D440288" w14:textId="77777777" w:rsidR="00485716" w:rsidRDefault="00273E27">
            <w:pPr>
              <w:tabs>
                <w:tab w:val="left" w:pos="594"/>
              </w:tabs>
              <w:jc w:val="both"/>
              <w:rPr>
                <w:szCs w:val="24"/>
              </w:rPr>
            </w:pPr>
            <w:r>
              <w:rPr>
                <w:szCs w:val="24"/>
              </w:rPr>
              <w:t>13.5.</w:t>
            </w:r>
            <w:r>
              <w:rPr>
                <w:szCs w:val="24"/>
              </w:rPr>
              <w:tab/>
              <w:t xml:space="preserve"> JP projekto finansavimo, mokėjimų prašymų teikimo, atsiskaitymo detalius reikalavimus, kurie nedetalizuoti Projektų taisyklėse, nustato JP vykdytojas kvietime teikti paraiškas.</w:t>
            </w:r>
          </w:p>
          <w:p w14:paraId="1522165E" w14:textId="77777777" w:rsidR="00485716" w:rsidRDefault="00273E27">
            <w:pPr>
              <w:tabs>
                <w:tab w:val="left" w:pos="594"/>
              </w:tabs>
              <w:jc w:val="both"/>
              <w:rPr>
                <w:szCs w:val="24"/>
              </w:rPr>
            </w:pPr>
            <w:r>
              <w:rPr>
                <w:szCs w:val="24"/>
              </w:rPr>
              <w:t>13.6.</w:t>
            </w:r>
            <w:r>
              <w:rPr>
                <w:szCs w:val="24"/>
              </w:rPr>
              <w:tab/>
              <w:t xml:space="preserve"> Pagal Aprašą pridėtinės vertės mokestis nefinansuojamas.</w:t>
            </w:r>
          </w:p>
          <w:p w14:paraId="57C0CA65" w14:textId="77777777" w:rsidR="00485716" w:rsidRDefault="00273E27">
            <w:pPr>
              <w:tabs>
                <w:tab w:val="left" w:pos="594"/>
              </w:tabs>
              <w:jc w:val="both"/>
              <w:rPr>
                <w:szCs w:val="24"/>
              </w:rPr>
            </w:pPr>
            <w:r>
              <w:rPr>
                <w:szCs w:val="24"/>
              </w:rPr>
              <w:t>13.7.</w:t>
            </w:r>
            <w:r>
              <w:rPr>
                <w:szCs w:val="24"/>
              </w:rPr>
              <w:tab/>
              <w:t>JP projekto vykdytojas turi</w:t>
            </w:r>
            <w:r>
              <w:rPr>
                <w:color w:val="000000"/>
                <w:szCs w:val="24"/>
                <w:shd w:val="clear" w:color="auto" w:fill="FFFFFF"/>
              </w:rPr>
              <w:t xml:space="preserve"> turėti įsisteigimo ar įregistravimo vietą Lietuvoje mokėjimo metu.</w:t>
            </w:r>
          </w:p>
          <w:p w14:paraId="1A217204" w14:textId="77777777" w:rsidR="00485716" w:rsidRDefault="00273E27">
            <w:pPr>
              <w:tabs>
                <w:tab w:val="left" w:pos="594"/>
              </w:tabs>
              <w:jc w:val="both"/>
              <w:rPr>
                <w:szCs w:val="24"/>
              </w:rPr>
            </w:pPr>
            <w:r>
              <w:rPr>
                <w:szCs w:val="24"/>
              </w:rPr>
              <w:t>13.8.</w:t>
            </w:r>
            <w:r>
              <w:rPr>
                <w:szCs w:val="24"/>
              </w:rPr>
              <w:tab/>
              <w:t xml:space="preserve"> </w:t>
            </w:r>
            <w:r>
              <w:rPr>
                <w:szCs w:val="24"/>
                <w:lang w:eastAsia="lt-LT"/>
              </w:rPr>
              <w:t>Pagal Aprašą kryžminis finansavimas netaikomas.</w:t>
            </w:r>
          </w:p>
        </w:tc>
      </w:tr>
      <w:tr w:rsidR="00485716" w14:paraId="0E47C8FB" w14:textId="77777777">
        <w:trPr>
          <w:trHeight w:val="349"/>
        </w:trPr>
        <w:tc>
          <w:tcPr>
            <w:tcW w:w="15021" w:type="dxa"/>
          </w:tcPr>
          <w:p w14:paraId="2BCDB93B" w14:textId="77777777" w:rsidR="00485716" w:rsidRDefault="00273E27">
            <w:pPr>
              <w:jc w:val="both"/>
              <w:rPr>
                <w:szCs w:val="24"/>
              </w:rPr>
            </w:pPr>
            <w:r>
              <w:rPr>
                <w:b/>
                <w:szCs w:val="24"/>
              </w:rPr>
              <w:lastRenderedPageBreak/>
              <w:t>14. Projektų veiklų ir jungtinio projekto projektų įgyvendinimui taikomi supaprastintai apmokamų išlaidų dydžiai</w:t>
            </w:r>
          </w:p>
        </w:tc>
      </w:tr>
      <w:tr w:rsidR="00485716" w14:paraId="2415B38F" w14:textId="77777777">
        <w:tc>
          <w:tcPr>
            <w:tcW w:w="15021" w:type="dxa"/>
          </w:tcPr>
          <w:p w14:paraId="72F5EFAA" w14:textId="77777777" w:rsidR="00485716" w:rsidRDefault="00485716">
            <w:pPr>
              <w:jc w:val="both"/>
              <w:rPr>
                <w:i/>
                <w:iCs/>
                <w:szCs w:val="24"/>
              </w:rPr>
            </w:pPr>
          </w:p>
          <w:p w14:paraId="5FF84C95" w14:textId="77777777" w:rsidR="00485716" w:rsidRDefault="00485716">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3"/>
              <w:gridCol w:w="1843"/>
              <w:gridCol w:w="1701"/>
              <w:gridCol w:w="5528"/>
              <w:gridCol w:w="1814"/>
            </w:tblGrid>
            <w:tr w:rsidR="00485716" w14:paraId="70368917" w14:textId="77777777">
              <w:tc>
                <w:tcPr>
                  <w:tcW w:w="14449" w:type="dxa"/>
                  <w:gridSpan w:val="5"/>
                  <w:tcBorders>
                    <w:top w:val="single" w:sz="8" w:space="0" w:color="auto"/>
                    <w:left w:val="single" w:sz="8" w:space="0" w:color="auto"/>
                    <w:bottom w:val="single" w:sz="8" w:space="0" w:color="auto"/>
                    <w:right w:val="single" w:sz="8" w:space="0" w:color="auto"/>
                  </w:tcBorders>
                </w:tcPr>
                <w:p w14:paraId="539EEBD6" w14:textId="77777777" w:rsidR="00485716" w:rsidRDefault="00273E27">
                  <w:pPr>
                    <w:jc w:val="both"/>
                    <w:rPr>
                      <w:b/>
                      <w:bCs/>
                      <w:szCs w:val="24"/>
                    </w:rPr>
                  </w:pPr>
                  <w:r>
                    <w:rPr>
                      <w:rFonts w:ascii="Segoe UI Symbol" w:eastAsia="MS Gothic" w:hAnsi="Segoe UI Symbol" w:cs="Segoe UI Symbol"/>
                      <w:b/>
                      <w:bCs/>
                      <w:szCs w:val="24"/>
                    </w:rPr>
                    <w:t>☐</w:t>
                  </w:r>
                  <w:r>
                    <w:rPr>
                      <w:b/>
                      <w:bCs/>
                      <w:szCs w:val="24"/>
                    </w:rPr>
                    <w:t xml:space="preserve"> Indeksuojama</w:t>
                  </w:r>
                </w:p>
                <w:p w14:paraId="12CA4650" w14:textId="77777777" w:rsidR="00485716" w:rsidRDefault="00485716">
                  <w:pPr>
                    <w:rPr>
                      <w:sz w:val="10"/>
                      <w:szCs w:val="10"/>
                    </w:rPr>
                  </w:pPr>
                </w:p>
                <w:p w14:paraId="74F82F2B" w14:textId="77777777" w:rsidR="00485716" w:rsidRDefault="00273E27">
                  <w:pPr>
                    <w:jc w:val="both"/>
                    <w:rPr>
                      <w:b/>
                      <w:bCs/>
                      <w:szCs w:val="24"/>
                    </w:rPr>
                  </w:pPr>
                  <w:r>
                    <w:rPr>
                      <w:b/>
                      <w:bCs/>
                      <w:szCs w:val="24"/>
                    </w:rPr>
                    <w:t>X Neindeksuojama</w:t>
                  </w:r>
                </w:p>
              </w:tc>
            </w:tr>
            <w:tr w:rsidR="00485716" w14:paraId="7282CB1D" w14:textId="77777777">
              <w:tc>
                <w:tcPr>
                  <w:tcW w:w="3563" w:type="dxa"/>
                  <w:tcBorders>
                    <w:top w:val="single" w:sz="8" w:space="0" w:color="auto"/>
                    <w:left w:val="single" w:sz="8" w:space="0" w:color="auto"/>
                    <w:bottom w:val="single" w:sz="8" w:space="0" w:color="auto"/>
                    <w:right w:val="single" w:sz="8" w:space="0" w:color="auto"/>
                  </w:tcBorders>
                  <w:vAlign w:val="center"/>
                </w:tcPr>
                <w:p w14:paraId="77363CF3" w14:textId="77777777" w:rsidR="00485716" w:rsidRDefault="00273E27">
                  <w:pPr>
                    <w:jc w:val="center"/>
                    <w:rPr>
                      <w:b/>
                      <w:bCs/>
                      <w:szCs w:val="24"/>
                    </w:rPr>
                  </w:pPr>
                  <w:r>
                    <w:rPr>
                      <w:b/>
                      <w:bCs/>
                      <w:szCs w:val="24"/>
                    </w:rPr>
                    <w:t>Veiklos ir (ar) išlaidos, kurioms taikomi supaprastintai apmokamų išlaidų dydžiai</w:t>
                  </w:r>
                </w:p>
              </w:tc>
              <w:tc>
                <w:tcPr>
                  <w:tcW w:w="1843" w:type="dxa"/>
                  <w:tcBorders>
                    <w:top w:val="single" w:sz="8" w:space="0" w:color="auto"/>
                    <w:left w:val="single" w:sz="8" w:space="0" w:color="auto"/>
                    <w:bottom w:val="single" w:sz="8" w:space="0" w:color="auto"/>
                    <w:right w:val="single" w:sz="8" w:space="0" w:color="auto"/>
                  </w:tcBorders>
                  <w:vAlign w:val="center"/>
                </w:tcPr>
                <w:p w14:paraId="76CD3162" w14:textId="77777777" w:rsidR="00485716" w:rsidRDefault="00273E27">
                  <w:pPr>
                    <w:jc w:val="center"/>
                    <w:rPr>
                      <w:b/>
                      <w:bCs/>
                      <w:szCs w:val="24"/>
                    </w:rPr>
                  </w:pPr>
                  <w:r>
                    <w:rPr>
                      <w:b/>
                      <w:bCs/>
                      <w:szCs w:val="24"/>
                    </w:rPr>
                    <w:t>Supaprastintai apmokamų išlaidų dydžio kodas</w:t>
                  </w:r>
                </w:p>
              </w:tc>
              <w:tc>
                <w:tcPr>
                  <w:tcW w:w="1701" w:type="dxa"/>
                  <w:tcBorders>
                    <w:top w:val="single" w:sz="8" w:space="0" w:color="auto"/>
                    <w:left w:val="single" w:sz="8" w:space="0" w:color="auto"/>
                    <w:bottom w:val="single" w:sz="8" w:space="0" w:color="auto"/>
                    <w:right w:val="single" w:sz="8" w:space="0" w:color="auto"/>
                  </w:tcBorders>
                  <w:vAlign w:val="center"/>
                </w:tcPr>
                <w:p w14:paraId="38EC673A" w14:textId="77777777" w:rsidR="00485716" w:rsidRDefault="00273E27">
                  <w:pPr>
                    <w:jc w:val="center"/>
                    <w:rPr>
                      <w:b/>
                      <w:bCs/>
                      <w:i/>
                      <w:iCs/>
                      <w:szCs w:val="24"/>
                    </w:rPr>
                  </w:pPr>
                  <w:r>
                    <w:rPr>
                      <w:b/>
                      <w:bCs/>
                      <w:szCs w:val="24"/>
                    </w:rPr>
                    <w:t>Supaprastintai apmokamų išlaidų dydžio versija</w:t>
                  </w:r>
                </w:p>
              </w:tc>
              <w:tc>
                <w:tcPr>
                  <w:tcW w:w="5528" w:type="dxa"/>
                  <w:tcBorders>
                    <w:top w:val="single" w:sz="8" w:space="0" w:color="auto"/>
                    <w:left w:val="single" w:sz="8" w:space="0" w:color="auto"/>
                    <w:bottom w:val="single" w:sz="8" w:space="0" w:color="auto"/>
                    <w:right w:val="single" w:sz="8" w:space="0" w:color="auto"/>
                  </w:tcBorders>
                  <w:vAlign w:val="center"/>
                </w:tcPr>
                <w:p w14:paraId="6040E1D4" w14:textId="77777777" w:rsidR="00485716" w:rsidRDefault="00273E27">
                  <w:pPr>
                    <w:jc w:val="center"/>
                    <w:rPr>
                      <w:b/>
                      <w:bCs/>
                      <w:szCs w:val="24"/>
                    </w:rPr>
                  </w:pPr>
                  <w:r>
                    <w:rPr>
                      <w:b/>
                      <w:bCs/>
                      <w:szCs w:val="24"/>
                    </w:rPr>
                    <w:t>Supaprastintai apmokamų išlaidų dydžio pavadinimas</w:t>
                  </w:r>
                </w:p>
              </w:tc>
              <w:tc>
                <w:tcPr>
                  <w:tcW w:w="1814" w:type="dxa"/>
                  <w:tcBorders>
                    <w:top w:val="single" w:sz="8" w:space="0" w:color="auto"/>
                    <w:left w:val="single" w:sz="8" w:space="0" w:color="auto"/>
                    <w:bottom w:val="single" w:sz="8" w:space="0" w:color="auto"/>
                    <w:right w:val="single" w:sz="8" w:space="0" w:color="auto"/>
                  </w:tcBorders>
                  <w:vAlign w:val="center"/>
                </w:tcPr>
                <w:p w14:paraId="34245FFA" w14:textId="77777777" w:rsidR="00485716" w:rsidRDefault="00273E27">
                  <w:pPr>
                    <w:jc w:val="center"/>
                    <w:rPr>
                      <w:b/>
                      <w:bCs/>
                      <w:szCs w:val="24"/>
                    </w:rPr>
                  </w:pPr>
                  <w:r>
                    <w:rPr>
                      <w:b/>
                      <w:bCs/>
                      <w:szCs w:val="24"/>
                    </w:rPr>
                    <w:t>Papildoma informacija</w:t>
                  </w:r>
                </w:p>
              </w:tc>
            </w:tr>
            <w:tr w:rsidR="00485716" w14:paraId="7318091F" w14:textId="77777777">
              <w:tc>
                <w:tcPr>
                  <w:tcW w:w="3563" w:type="dxa"/>
                  <w:tcBorders>
                    <w:top w:val="single" w:sz="8" w:space="0" w:color="auto"/>
                    <w:left w:val="single" w:sz="8" w:space="0" w:color="auto"/>
                    <w:bottom w:val="single" w:sz="8" w:space="0" w:color="auto"/>
                    <w:right w:val="single" w:sz="8" w:space="0" w:color="auto"/>
                  </w:tcBorders>
                </w:tcPr>
                <w:p w14:paraId="1EB71AD0" w14:textId="77777777" w:rsidR="00485716" w:rsidRDefault="00273E27">
                  <w:pPr>
                    <w:tabs>
                      <w:tab w:val="left" w:pos="795"/>
                    </w:tabs>
                    <w:jc w:val="both"/>
                    <w:rPr>
                      <w:szCs w:val="24"/>
                    </w:rPr>
                  </w:pPr>
                  <w:r>
                    <w:rPr>
                      <w:szCs w:val="24"/>
                    </w:rPr>
                    <w:t>14.1.</w:t>
                  </w:r>
                  <w:r>
                    <w:rPr>
                      <w:szCs w:val="24"/>
                    </w:rPr>
                    <w:tab/>
                    <w:t>Viešųjų elektromobilių įkrovimo prieigų įrengimo išlaidų fiksuotojo vieneto įkainis</w:t>
                  </w:r>
                </w:p>
              </w:tc>
              <w:tc>
                <w:tcPr>
                  <w:tcW w:w="1843" w:type="dxa"/>
                  <w:tcBorders>
                    <w:top w:val="single" w:sz="8" w:space="0" w:color="auto"/>
                    <w:left w:val="single" w:sz="8" w:space="0" w:color="auto"/>
                    <w:bottom w:val="single" w:sz="8" w:space="0" w:color="auto"/>
                    <w:right w:val="single" w:sz="8" w:space="0" w:color="auto"/>
                  </w:tcBorders>
                </w:tcPr>
                <w:p w14:paraId="718C5A07" w14:textId="77777777" w:rsidR="00485716" w:rsidRDefault="00273E27">
                  <w:pPr>
                    <w:jc w:val="both"/>
                    <w:rPr>
                      <w:i/>
                      <w:iCs/>
                      <w:szCs w:val="24"/>
                    </w:rPr>
                  </w:pPr>
                  <w:r>
                    <w:rPr>
                      <w:szCs w:val="24"/>
                    </w:rPr>
                    <w:t xml:space="preserve">Išlaidų dydžių kodai iš Supaprastintai apmokamų išlaidų registro: </w:t>
                  </w:r>
                </w:p>
                <w:p w14:paraId="3066AEC9" w14:textId="77777777" w:rsidR="00485716" w:rsidRDefault="00485716">
                  <w:pPr>
                    <w:rPr>
                      <w:sz w:val="10"/>
                      <w:szCs w:val="10"/>
                    </w:rPr>
                  </w:pPr>
                </w:p>
                <w:p w14:paraId="6E4C32C1" w14:textId="77777777" w:rsidR="00485716" w:rsidRDefault="00273E27">
                  <w:pPr>
                    <w:ind w:left="720" w:hanging="360"/>
                    <w:jc w:val="both"/>
                    <w:rPr>
                      <w:szCs w:val="24"/>
                    </w:rPr>
                  </w:pPr>
                  <w:r>
                    <w:rPr>
                      <w:szCs w:val="24"/>
                    </w:rPr>
                    <w:t>1)</w:t>
                  </w:r>
                  <w:r>
                    <w:rPr>
                      <w:szCs w:val="24"/>
                    </w:rPr>
                    <w:tab/>
                    <w:t>FĮ-35-01</w:t>
                  </w:r>
                </w:p>
                <w:p w14:paraId="7C43F8DE" w14:textId="77777777" w:rsidR="00485716" w:rsidRDefault="00273E27">
                  <w:pPr>
                    <w:ind w:left="720" w:hanging="360"/>
                    <w:jc w:val="both"/>
                    <w:rPr>
                      <w:szCs w:val="24"/>
                    </w:rPr>
                  </w:pPr>
                  <w:r>
                    <w:rPr>
                      <w:szCs w:val="24"/>
                    </w:rPr>
                    <w:t>2)</w:t>
                  </w:r>
                  <w:r>
                    <w:rPr>
                      <w:szCs w:val="24"/>
                    </w:rPr>
                    <w:tab/>
                    <w:t>FĮ-35-03</w:t>
                  </w:r>
                </w:p>
                <w:p w14:paraId="56AF4612" w14:textId="77777777" w:rsidR="00485716" w:rsidRDefault="00273E27">
                  <w:pPr>
                    <w:ind w:left="720" w:hanging="360"/>
                    <w:jc w:val="both"/>
                    <w:rPr>
                      <w:szCs w:val="24"/>
                    </w:rPr>
                  </w:pPr>
                  <w:r>
                    <w:rPr>
                      <w:szCs w:val="24"/>
                    </w:rPr>
                    <w:t>3)</w:t>
                  </w:r>
                  <w:r>
                    <w:rPr>
                      <w:szCs w:val="24"/>
                    </w:rPr>
                    <w:tab/>
                    <w:t>FĮ-35-05</w:t>
                  </w:r>
                </w:p>
                <w:p w14:paraId="1D201042" w14:textId="77777777" w:rsidR="00485716" w:rsidRDefault="00273E27">
                  <w:pPr>
                    <w:ind w:left="720" w:hanging="360"/>
                    <w:jc w:val="both"/>
                    <w:rPr>
                      <w:szCs w:val="24"/>
                    </w:rPr>
                  </w:pPr>
                  <w:r>
                    <w:rPr>
                      <w:szCs w:val="24"/>
                    </w:rPr>
                    <w:t>4)</w:t>
                  </w:r>
                  <w:r>
                    <w:rPr>
                      <w:szCs w:val="24"/>
                    </w:rPr>
                    <w:tab/>
                    <w:t>FĮ-35-07</w:t>
                  </w:r>
                </w:p>
                <w:p w14:paraId="721C8725" w14:textId="77777777" w:rsidR="00485716" w:rsidRDefault="00273E27">
                  <w:pPr>
                    <w:ind w:left="720" w:hanging="360"/>
                    <w:jc w:val="both"/>
                    <w:rPr>
                      <w:szCs w:val="24"/>
                    </w:rPr>
                  </w:pPr>
                  <w:r>
                    <w:rPr>
                      <w:szCs w:val="24"/>
                    </w:rPr>
                    <w:t>5)</w:t>
                  </w:r>
                  <w:r>
                    <w:rPr>
                      <w:szCs w:val="24"/>
                    </w:rPr>
                    <w:tab/>
                    <w:t>FĮ-35-09</w:t>
                  </w:r>
                </w:p>
                <w:p w14:paraId="4B79881B" w14:textId="77777777" w:rsidR="00485716" w:rsidRDefault="00273E27">
                  <w:pPr>
                    <w:ind w:left="720" w:hanging="360"/>
                    <w:jc w:val="both"/>
                    <w:rPr>
                      <w:szCs w:val="24"/>
                    </w:rPr>
                  </w:pPr>
                  <w:r>
                    <w:rPr>
                      <w:szCs w:val="24"/>
                    </w:rPr>
                    <w:t>6)</w:t>
                  </w:r>
                  <w:r>
                    <w:rPr>
                      <w:szCs w:val="24"/>
                    </w:rPr>
                    <w:tab/>
                    <w:t>FĮ-35-11</w:t>
                  </w:r>
                </w:p>
                <w:p w14:paraId="106762C8" w14:textId="77777777" w:rsidR="00485716" w:rsidRDefault="00273E27">
                  <w:pPr>
                    <w:ind w:left="720" w:hanging="360"/>
                    <w:jc w:val="both"/>
                    <w:rPr>
                      <w:szCs w:val="24"/>
                    </w:rPr>
                  </w:pPr>
                  <w:r>
                    <w:rPr>
                      <w:szCs w:val="24"/>
                    </w:rPr>
                    <w:t>7)</w:t>
                  </w:r>
                  <w:r>
                    <w:rPr>
                      <w:szCs w:val="24"/>
                    </w:rPr>
                    <w:tab/>
                    <w:t>FĮ-35-13</w:t>
                  </w:r>
                </w:p>
                <w:p w14:paraId="69454681" w14:textId="77777777" w:rsidR="00485716" w:rsidRDefault="00273E27">
                  <w:pPr>
                    <w:ind w:left="720" w:hanging="360"/>
                    <w:jc w:val="both"/>
                    <w:rPr>
                      <w:szCs w:val="24"/>
                    </w:rPr>
                  </w:pPr>
                  <w:r>
                    <w:rPr>
                      <w:szCs w:val="24"/>
                    </w:rPr>
                    <w:t>8)</w:t>
                  </w:r>
                  <w:r>
                    <w:rPr>
                      <w:szCs w:val="24"/>
                    </w:rPr>
                    <w:tab/>
                    <w:t>FĮ-35-15</w:t>
                  </w:r>
                </w:p>
                <w:p w14:paraId="21AEB761" w14:textId="77777777" w:rsidR="00485716" w:rsidRDefault="00485716">
                  <w:pPr>
                    <w:spacing w:line="259" w:lineRule="auto"/>
                    <w:ind w:left="720"/>
                    <w:jc w:val="both"/>
                    <w:rPr>
                      <w:sz w:val="22"/>
                      <w:szCs w:val="24"/>
                    </w:rPr>
                  </w:pPr>
                </w:p>
              </w:tc>
              <w:tc>
                <w:tcPr>
                  <w:tcW w:w="1701" w:type="dxa"/>
                  <w:tcBorders>
                    <w:top w:val="single" w:sz="8" w:space="0" w:color="auto"/>
                    <w:left w:val="single" w:sz="8" w:space="0" w:color="auto"/>
                    <w:bottom w:val="single" w:sz="8" w:space="0" w:color="auto"/>
                    <w:right w:val="single" w:sz="8" w:space="0" w:color="auto"/>
                  </w:tcBorders>
                </w:tcPr>
                <w:p w14:paraId="46BDC906" w14:textId="77777777" w:rsidR="00485716" w:rsidRDefault="00273E27">
                  <w:pPr>
                    <w:jc w:val="center"/>
                    <w:rPr>
                      <w:szCs w:val="24"/>
                    </w:rPr>
                  </w:pPr>
                  <w:r>
                    <w:rPr>
                      <w:szCs w:val="24"/>
                    </w:rPr>
                    <w:t>01</w:t>
                  </w:r>
                </w:p>
              </w:tc>
              <w:tc>
                <w:tcPr>
                  <w:tcW w:w="5528" w:type="dxa"/>
                  <w:tcBorders>
                    <w:top w:val="single" w:sz="8" w:space="0" w:color="auto"/>
                    <w:left w:val="single" w:sz="8" w:space="0" w:color="auto"/>
                    <w:bottom w:val="single" w:sz="8" w:space="0" w:color="auto"/>
                    <w:right w:val="single" w:sz="8" w:space="0" w:color="auto"/>
                  </w:tcBorders>
                </w:tcPr>
                <w:p w14:paraId="79D5BB46" w14:textId="77777777" w:rsidR="00485716" w:rsidRDefault="00273E27">
                  <w:pPr>
                    <w:jc w:val="both"/>
                    <w:rPr>
                      <w:i/>
                      <w:iCs/>
                      <w:szCs w:val="24"/>
                    </w:rPr>
                  </w:pPr>
                  <w:r>
                    <w:rPr>
                      <w:szCs w:val="24"/>
                    </w:rPr>
                    <w:t>Išlaidų dydžių pavadinimai iš Supaprastintai apmokamų išlaidų registro:</w:t>
                  </w:r>
                </w:p>
                <w:p w14:paraId="177E734E" w14:textId="77777777" w:rsidR="00485716" w:rsidRDefault="00485716">
                  <w:pPr>
                    <w:rPr>
                      <w:sz w:val="10"/>
                      <w:szCs w:val="10"/>
                    </w:rPr>
                  </w:pPr>
                </w:p>
                <w:p w14:paraId="691A2903" w14:textId="77777777" w:rsidR="00485716" w:rsidRDefault="00273E27">
                  <w:pPr>
                    <w:ind w:left="720" w:hanging="360"/>
                    <w:jc w:val="both"/>
                    <w:rPr>
                      <w:szCs w:val="24"/>
                    </w:rPr>
                  </w:pPr>
                  <w:r>
                    <w:rPr>
                      <w:szCs w:val="24"/>
                    </w:rPr>
                    <w:t>1.</w:t>
                  </w:r>
                  <w:r>
                    <w:rPr>
                      <w:szCs w:val="24"/>
                    </w:rPr>
                    <w:tab/>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p w14:paraId="2BA44257" w14:textId="77777777" w:rsidR="00485716" w:rsidRDefault="00273E27">
                  <w:pPr>
                    <w:ind w:left="720" w:hanging="360"/>
                    <w:jc w:val="both"/>
                    <w:rPr>
                      <w:szCs w:val="24"/>
                    </w:rPr>
                  </w:pPr>
                  <w:r>
                    <w:rPr>
                      <w:szCs w:val="24"/>
                    </w:rPr>
                    <w:t>2.</w:t>
                  </w:r>
                  <w:r>
                    <w:rPr>
                      <w:szCs w:val="24"/>
                    </w:rPr>
                    <w:tab/>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p w14:paraId="5791CCCF" w14:textId="77777777" w:rsidR="00485716" w:rsidRDefault="00273E27">
                  <w:pPr>
                    <w:ind w:left="720" w:hanging="360"/>
                    <w:jc w:val="both"/>
                    <w:rPr>
                      <w:szCs w:val="24"/>
                    </w:rPr>
                  </w:pPr>
                  <w:r>
                    <w:rPr>
                      <w:szCs w:val="24"/>
                    </w:rPr>
                    <w:t>3.</w:t>
                  </w:r>
                  <w:r>
                    <w:rPr>
                      <w:szCs w:val="24"/>
                    </w:rPr>
                    <w:tab/>
                    <w:t xml:space="preserve">Elektromobilių įkrovimo stotelių, kurių elektromobilių įkrovimo prieigos perduodama </w:t>
                  </w:r>
                  <w:r>
                    <w:rPr>
                      <w:szCs w:val="24"/>
                    </w:rPr>
                    <w:lastRenderedPageBreak/>
                    <w:t>elektrinė galia yra didesnė kaip 22 kW, bet ne didesnė arba lygi 49 kW, įsigijimo ir montavimo darbų išlaidų fiksuotasis vieneto įkainis, kai prieigų skaičius lygus 1, be PVM.</w:t>
                  </w:r>
                </w:p>
                <w:p w14:paraId="0F6B0CCD" w14:textId="77777777" w:rsidR="00485716" w:rsidRDefault="00273E27">
                  <w:pPr>
                    <w:ind w:left="720" w:hanging="360"/>
                    <w:jc w:val="both"/>
                    <w:rPr>
                      <w:szCs w:val="24"/>
                    </w:rPr>
                  </w:pPr>
                  <w:r>
                    <w:rPr>
                      <w:szCs w:val="24"/>
                    </w:rPr>
                    <w:t>4.</w:t>
                  </w:r>
                  <w:r>
                    <w:rPr>
                      <w:szCs w:val="24"/>
                    </w:rPr>
                    <w:tab/>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p w14:paraId="18D6C1A8" w14:textId="77777777" w:rsidR="00485716" w:rsidRDefault="00273E27">
                  <w:pPr>
                    <w:ind w:left="720" w:hanging="360"/>
                    <w:jc w:val="both"/>
                    <w:rPr>
                      <w:szCs w:val="24"/>
                    </w:rPr>
                  </w:pPr>
                  <w:r>
                    <w:rPr>
                      <w:szCs w:val="24"/>
                    </w:rPr>
                    <w:t>5.</w:t>
                  </w:r>
                  <w:r>
                    <w:rPr>
                      <w:szCs w:val="24"/>
                    </w:rPr>
                    <w:tab/>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p w14:paraId="01D011D1" w14:textId="77777777" w:rsidR="00485716" w:rsidRDefault="00273E27">
                  <w:pPr>
                    <w:ind w:left="720" w:hanging="360"/>
                    <w:jc w:val="both"/>
                    <w:rPr>
                      <w:szCs w:val="24"/>
                    </w:rPr>
                  </w:pPr>
                  <w:r>
                    <w:rPr>
                      <w:szCs w:val="24"/>
                    </w:rPr>
                    <w:t>6.</w:t>
                  </w:r>
                  <w:r>
                    <w:rPr>
                      <w:szCs w:val="24"/>
                    </w:rPr>
                    <w:tab/>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p w14:paraId="264832DA" w14:textId="77777777" w:rsidR="00485716" w:rsidRDefault="00273E27">
                  <w:pPr>
                    <w:ind w:left="720" w:hanging="360"/>
                    <w:jc w:val="both"/>
                    <w:rPr>
                      <w:szCs w:val="24"/>
                    </w:rPr>
                  </w:pPr>
                  <w:r>
                    <w:rPr>
                      <w:szCs w:val="24"/>
                    </w:rPr>
                    <w:t>7.</w:t>
                  </w:r>
                  <w:r>
                    <w:rPr>
                      <w:szCs w:val="24"/>
                    </w:rPr>
                    <w:tab/>
                    <w:t xml:space="preserve">Elektromobilių įkrovimo stotelių, kurių elektromobilių įkrovimo prieigos perduodama elektrinė galia yra didesnė kaip 149 kW, įsigijimo ir montavimo darbų išlaidų fiksuotasis vieneto įkainis, kai prieigų skaičius lygus 1, be PVM. </w:t>
                  </w:r>
                </w:p>
                <w:p w14:paraId="3AD3AA51" w14:textId="77777777" w:rsidR="00485716" w:rsidRDefault="00273E27">
                  <w:pPr>
                    <w:ind w:left="720" w:hanging="360"/>
                    <w:jc w:val="both"/>
                    <w:rPr>
                      <w:szCs w:val="24"/>
                    </w:rPr>
                  </w:pPr>
                  <w:r>
                    <w:rPr>
                      <w:szCs w:val="24"/>
                    </w:rPr>
                    <w:t>8.</w:t>
                  </w:r>
                  <w:r>
                    <w:rPr>
                      <w:szCs w:val="24"/>
                    </w:rPr>
                    <w:tab/>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814" w:type="dxa"/>
                  <w:tcBorders>
                    <w:top w:val="single" w:sz="8" w:space="0" w:color="auto"/>
                    <w:left w:val="single" w:sz="8" w:space="0" w:color="auto"/>
                    <w:bottom w:val="single" w:sz="8" w:space="0" w:color="auto"/>
                    <w:right w:val="single" w:sz="8" w:space="0" w:color="auto"/>
                  </w:tcBorders>
                </w:tcPr>
                <w:p w14:paraId="6539BD17" w14:textId="77777777" w:rsidR="00485716" w:rsidRDefault="00273E27">
                  <w:pPr>
                    <w:jc w:val="center"/>
                    <w:rPr>
                      <w:szCs w:val="24"/>
                    </w:rPr>
                  </w:pPr>
                  <w:r>
                    <w:rPr>
                      <w:szCs w:val="24"/>
                      <w:lang w:eastAsia="lt-LT"/>
                    </w:rPr>
                    <w:lastRenderedPageBreak/>
                    <w:t xml:space="preserve">Fiksuotosios sumos skelbiamos interneto svetainėje </w:t>
                  </w:r>
                  <w:proofErr w:type="spellStart"/>
                  <w:r>
                    <w:rPr>
                      <w:i/>
                      <w:iCs/>
                      <w:szCs w:val="24"/>
                      <w:lang w:eastAsia="lt-LT"/>
                    </w:rPr>
                    <w:t>esinvesticijos.lt</w:t>
                  </w:r>
                  <w:proofErr w:type="spellEnd"/>
                  <w:r>
                    <w:rPr>
                      <w:szCs w:val="24"/>
                      <w:lang w:eastAsia="lt-LT"/>
                    </w:rPr>
                    <w:t xml:space="preserve"> (</w:t>
                  </w:r>
                  <w:r>
                    <w:t>https://2021.esinvesticijos.lt/dokumentai/supaprastintai-apmokamu-islaidu-dydziu-registras</w:t>
                  </w:r>
                  <w:r>
                    <w:rPr>
                      <w:szCs w:val="24"/>
                    </w:rPr>
                    <w:t xml:space="preserve">) </w:t>
                  </w:r>
                </w:p>
              </w:tc>
            </w:tr>
            <w:tr w:rsidR="00485716" w14:paraId="0C047EF7" w14:textId="77777777">
              <w:tc>
                <w:tcPr>
                  <w:tcW w:w="3563" w:type="dxa"/>
                  <w:tcBorders>
                    <w:top w:val="single" w:sz="8" w:space="0" w:color="auto"/>
                    <w:left w:val="single" w:sz="8" w:space="0" w:color="auto"/>
                    <w:right w:val="single" w:sz="8" w:space="0" w:color="auto"/>
                  </w:tcBorders>
                </w:tcPr>
                <w:p w14:paraId="7C22EE6F" w14:textId="77777777" w:rsidR="00485716" w:rsidRDefault="00273E27">
                  <w:pPr>
                    <w:tabs>
                      <w:tab w:val="left" w:pos="795"/>
                    </w:tabs>
                    <w:jc w:val="both"/>
                    <w:rPr>
                      <w:szCs w:val="24"/>
                    </w:rPr>
                  </w:pPr>
                  <w:r>
                    <w:rPr>
                      <w:szCs w:val="24"/>
                    </w:rPr>
                    <w:lastRenderedPageBreak/>
                    <w:t>14.2.</w:t>
                  </w:r>
                  <w:r>
                    <w:rPr>
                      <w:szCs w:val="24"/>
                    </w:rPr>
                    <w:tab/>
                    <w:t xml:space="preserve"> Privalomos projektų matomumo ir informavimo apie projektus priemonės ir išlaidos</w:t>
                  </w:r>
                </w:p>
                <w:p w14:paraId="6322020C" w14:textId="77777777" w:rsidR="00485716" w:rsidRDefault="00485716">
                  <w:pPr>
                    <w:tabs>
                      <w:tab w:val="left" w:pos="795"/>
                    </w:tabs>
                    <w:jc w:val="both"/>
                    <w:rPr>
                      <w:szCs w:val="24"/>
                    </w:rPr>
                  </w:pPr>
                </w:p>
                <w:p w14:paraId="2AB56B97" w14:textId="77777777" w:rsidR="00485716" w:rsidRDefault="00485716">
                  <w:pPr>
                    <w:rPr>
                      <w:sz w:val="10"/>
                      <w:szCs w:val="10"/>
                    </w:rPr>
                  </w:pPr>
                </w:p>
                <w:p w14:paraId="0CED428C" w14:textId="77777777" w:rsidR="00485716" w:rsidRDefault="00273E27">
                  <w:pPr>
                    <w:tabs>
                      <w:tab w:val="left" w:pos="795"/>
                    </w:tabs>
                    <w:jc w:val="both"/>
                    <w:rPr>
                      <w:szCs w:val="24"/>
                    </w:rPr>
                  </w:pPr>
                  <w:r>
                    <w:rPr>
                      <w:szCs w:val="24"/>
                    </w:rPr>
                    <w:t>Fiksuotąją sumą sudaro visų antrojo privalomų matomumo ir informavimo priemonių rinkinio išlaidos, kai:</w:t>
                  </w:r>
                </w:p>
                <w:p w14:paraId="051E9B4D" w14:textId="77777777" w:rsidR="00485716" w:rsidRDefault="00485716">
                  <w:pPr>
                    <w:rPr>
                      <w:sz w:val="10"/>
                      <w:szCs w:val="10"/>
                    </w:rPr>
                  </w:pPr>
                </w:p>
                <w:p w14:paraId="0238936C" w14:textId="77777777" w:rsidR="00485716" w:rsidRDefault="00273E27">
                  <w:pPr>
                    <w:tabs>
                      <w:tab w:val="left" w:pos="795"/>
                    </w:tabs>
                    <w:jc w:val="both"/>
                    <w:rPr>
                      <w:szCs w:val="24"/>
                    </w:rPr>
                  </w:pPr>
                  <w:r>
                    <w:rPr>
                      <w:szCs w:val="24"/>
                    </w:rPr>
                    <w:t>14.2.1.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4F7C3D6C" w14:textId="77777777" w:rsidR="00485716" w:rsidRDefault="00485716">
                  <w:pPr>
                    <w:rPr>
                      <w:sz w:val="10"/>
                      <w:szCs w:val="10"/>
                    </w:rPr>
                  </w:pPr>
                </w:p>
                <w:p w14:paraId="6C4D3200" w14:textId="77777777" w:rsidR="00485716" w:rsidRDefault="00273E27">
                  <w:pPr>
                    <w:tabs>
                      <w:tab w:val="left" w:pos="795"/>
                    </w:tabs>
                    <w:jc w:val="both"/>
                    <w:rPr>
                      <w:szCs w:val="24"/>
                    </w:rPr>
                  </w:pPr>
                  <w:r>
                    <w:rPr>
                      <w:szCs w:val="24"/>
                    </w:rPr>
                    <w:t>14.2.2. visuomenei arba dalyviams skirtuose dokumentuose ir komunikacijos medžiagoje, susijusioje su veiksmo įgyvendinimu, gerai matomai pateiktas pareiškimas, kuriame akcentuojama gaunama ES parama.</w:t>
                  </w:r>
                </w:p>
                <w:p w14:paraId="68840BB4" w14:textId="77777777" w:rsidR="00485716" w:rsidRDefault="00485716">
                  <w:pPr>
                    <w:rPr>
                      <w:sz w:val="10"/>
                      <w:szCs w:val="10"/>
                    </w:rPr>
                  </w:pPr>
                </w:p>
                <w:p w14:paraId="2CC1F333" w14:textId="77777777" w:rsidR="00485716" w:rsidRDefault="00485716">
                  <w:pPr>
                    <w:tabs>
                      <w:tab w:val="left" w:pos="795"/>
                    </w:tabs>
                    <w:jc w:val="both"/>
                    <w:rPr>
                      <w:szCs w:val="24"/>
                    </w:rPr>
                  </w:pPr>
                </w:p>
              </w:tc>
              <w:tc>
                <w:tcPr>
                  <w:tcW w:w="1843" w:type="dxa"/>
                  <w:tcBorders>
                    <w:top w:val="single" w:sz="8" w:space="0" w:color="auto"/>
                    <w:left w:val="single" w:sz="8" w:space="0" w:color="auto"/>
                    <w:bottom w:val="single" w:sz="8" w:space="0" w:color="auto"/>
                    <w:right w:val="single" w:sz="8" w:space="0" w:color="auto"/>
                  </w:tcBorders>
                </w:tcPr>
                <w:p w14:paraId="279BBA34" w14:textId="77777777" w:rsidR="00485716" w:rsidRDefault="00273E27">
                  <w:pPr>
                    <w:jc w:val="center"/>
                    <w:rPr>
                      <w:szCs w:val="24"/>
                    </w:rPr>
                  </w:pPr>
                  <w:r>
                    <w:rPr>
                      <w:szCs w:val="24"/>
                      <w:lang w:eastAsia="lt-LT"/>
                    </w:rPr>
                    <w:t>FS-01-03</w:t>
                  </w:r>
                </w:p>
              </w:tc>
              <w:tc>
                <w:tcPr>
                  <w:tcW w:w="1701" w:type="dxa"/>
                  <w:tcBorders>
                    <w:top w:val="single" w:sz="8" w:space="0" w:color="auto"/>
                    <w:left w:val="single" w:sz="8" w:space="0" w:color="auto"/>
                    <w:bottom w:val="single" w:sz="8" w:space="0" w:color="auto"/>
                    <w:right w:val="single" w:sz="8" w:space="0" w:color="auto"/>
                  </w:tcBorders>
                  <w:shd w:val="clear" w:color="auto" w:fill="auto"/>
                </w:tcPr>
                <w:p w14:paraId="1C432C18" w14:textId="77777777" w:rsidR="00485716" w:rsidRDefault="00273E27">
                  <w:pPr>
                    <w:jc w:val="center"/>
                    <w:rPr>
                      <w:szCs w:val="24"/>
                    </w:rPr>
                  </w:pPr>
                  <w:r>
                    <w:rPr>
                      <w:szCs w:val="24"/>
                    </w:rPr>
                    <w:t>-</w:t>
                  </w:r>
                </w:p>
              </w:tc>
              <w:tc>
                <w:tcPr>
                  <w:tcW w:w="5528" w:type="dxa"/>
                  <w:tcBorders>
                    <w:top w:val="single" w:sz="8" w:space="0" w:color="auto"/>
                    <w:left w:val="single" w:sz="8" w:space="0" w:color="auto"/>
                    <w:bottom w:val="single" w:sz="8" w:space="0" w:color="auto"/>
                    <w:right w:val="single" w:sz="8" w:space="0" w:color="auto"/>
                  </w:tcBorders>
                </w:tcPr>
                <w:p w14:paraId="57FF47F8" w14:textId="77777777" w:rsidR="00485716" w:rsidRDefault="00273E27">
                  <w:pPr>
                    <w:jc w:val="both"/>
                    <w:rPr>
                      <w:szCs w:val="24"/>
                      <w:lang w:eastAsia="lt-LT"/>
                    </w:rPr>
                  </w:pPr>
                  <w:r>
                    <w:rPr>
                      <w:szCs w:val="24"/>
                      <w:lang w:eastAsia="lt-LT"/>
                    </w:rPr>
                    <w:t>Įgyvendintų privalomų matomumo ir informavimo apie Europos Sąjungos fondų investicijų veiklas priemonių fiksuotoji suma, antrojo rinkinio fiksuotoji suma be PVM.</w:t>
                  </w:r>
                </w:p>
                <w:p w14:paraId="7778D839" w14:textId="77777777" w:rsidR="00485716" w:rsidRDefault="00485716">
                  <w:pPr>
                    <w:rPr>
                      <w:sz w:val="10"/>
                      <w:szCs w:val="10"/>
                    </w:rPr>
                  </w:pPr>
                </w:p>
                <w:p w14:paraId="720BE875" w14:textId="77777777" w:rsidR="00485716" w:rsidRDefault="00485716">
                  <w:pPr>
                    <w:jc w:val="both"/>
                    <w:rPr>
                      <w:szCs w:val="24"/>
                      <w:lang w:eastAsia="lt-LT"/>
                    </w:rPr>
                  </w:pPr>
                </w:p>
                <w:p w14:paraId="4DE1C41E" w14:textId="77777777" w:rsidR="00485716" w:rsidRDefault="00485716">
                  <w:pPr>
                    <w:rPr>
                      <w:sz w:val="10"/>
                      <w:szCs w:val="10"/>
                    </w:rPr>
                  </w:pPr>
                </w:p>
                <w:p w14:paraId="692D973A" w14:textId="77777777" w:rsidR="00485716" w:rsidRDefault="00485716">
                  <w:pPr>
                    <w:jc w:val="center"/>
                    <w:rPr>
                      <w:szCs w:val="24"/>
                    </w:rPr>
                  </w:pPr>
                </w:p>
              </w:tc>
              <w:tc>
                <w:tcPr>
                  <w:tcW w:w="1814" w:type="dxa"/>
                  <w:tcBorders>
                    <w:top w:val="single" w:sz="8" w:space="0" w:color="auto"/>
                    <w:left w:val="single" w:sz="8" w:space="0" w:color="auto"/>
                    <w:right w:val="single" w:sz="8" w:space="0" w:color="auto"/>
                  </w:tcBorders>
                </w:tcPr>
                <w:p w14:paraId="150F6E3B" w14:textId="77777777" w:rsidR="00485716" w:rsidRDefault="00273E27">
                  <w:pPr>
                    <w:jc w:val="both"/>
                    <w:rPr>
                      <w:szCs w:val="24"/>
                    </w:rPr>
                  </w:pPr>
                  <w:r>
                    <w:rPr>
                      <w:szCs w:val="24"/>
                      <w:lang w:eastAsia="lt-LT"/>
                    </w:rPr>
                    <w:t xml:space="preserve">Fiksuotosios sumos skelbiamos svetainėje </w:t>
                  </w:r>
                  <w:proofErr w:type="spellStart"/>
                  <w:r>
                    <w:rPr>
                      <w:i/>
                      <w:iCs/>
                      <w:szCs w:val="24"/>
                      <w:lang w:eastAsia="lt-LT"/>
                    </w:rPr>
                    <w:t>esinvesticijos.lt</w:t>
                  </w:r>
                  <w:proofErr w:type="spellEnd"/>
                  <w:r>
                    <w:rPr>
                      <w:szCs w:val="24"/>
                      <w:lang w:eastAsia="lt-LT"/>
                    </w:rPr>
                    <w:t xml:space="preserve"> (</w:t>
                  </w:r>
                  <w:r>
                    <w:t>https://2021.esinvesticijos.lt/dokumentai/supaprastintai-apmokamu-islaidu-dydziu-registras</w:t>
                  </w:r>
                  <w:r>
                    <w:rPr>
                      <w:szCs w:val="24"/>
                      <w:lang w:eastAsia="lt-LT"/>
                    </w:rPr>
                    <w:t>)</w:t>
                  </w:r>
                </w:p>
              </w:tc>
            </w:tr>
            <w:tr w:rsidR="00485716" w14:paraId="49C8D24F" w14:textId="77777777">
              <w:tc>
                <w:tcPr>
                  <w:tcW w:w="3563" w:type="dxa"/>
                  <w:tcBorders>
                    <w:left w:val="single" w:sz="8" w:space="0" w:color="auto"/>
                    <w:bottom w:val="single" w:sz="8" w:space="0" w:color="auto"/>
                    <w:right w:val="single" w:sz="8" w:space="0" w:color="auto"/>
                  </w:tcBorders>
                </w:tcPr>
                <w:p w14:paraId="23877FAE" w14:textId="77777777" w:rsidR="00485716" w:rsidRDefault="00273E27">
                  <w:pPr>
                    <w:tabs>
                      <w:tab w:val="left" w:pos="795"/>
                    </w:tabs>
                    <w:jc w:val="both"/>
                    <w:rPr>
                      <w:szCs w:val="24"/>
                    </w:rPr>
                  </w:pPr>
                  <w:r>
                    <w:rPr>
                      <w:szCs w:val="24"/>
                    </w:rPr>
                    <w:t>14.3.</w:t>
                  </w:r>
                  <w:r>
                    <w:rPr>
                      <w:szCs w:val="24"/>
                    </w:rPr>
                    <w:tab/>
                    <w:t>Netiesioginės projekto veiklos ir išlaidos joms apmokėti.</w:t>
                  </w:r>
                </w:p>
              </w:tc>
              <w:tc>
                <w:tcPr>
                  <w:tcW w:w="1843" w:type="dxa"/>
                  <w:tcBorders>
                    <w:top w:val="single" w:sz="8" w:space="0" w:color="auto"/>
                    <w:left w:val="single" w:sz="8" w:space="0" w:color="auto"/>
                    <w:bottom w:val="single" w:sz="8" w:space="0" w:color="auto"/>
                    <w:right w:val="single" w:sz="8" w:space="0" w:color="auto"/>
                  </w:tcBorders>
                </w:tcPr>
                <w:p w14:paraId="203A07A9" w14:textId="77777777" w:rsidR="00485716" w:rsidRDefault="00273E27">
                  <w:pPr>
                    <w:jc w:val="center"/>
                    <w:rPr>
                      <w:szCs w:val="24"/>
                      <w:lang w:eastAsia="lt-LT"/>
                    </w:rPr>
                  </w:pPr>
                  <w:r>
                    <w:rPr>
                      <w:szCs w:val="24"/>
                      <w:lang w:eastAsia="lt-LT"/>
                    </w:rPr>
                    <w:t>FN-01</w:t>
                  </w:r>
                </w:p>
              </w:tc>
              <w:tc>
                <w:tcPr>
                  <w:tcW w:w="1701" w:type="dxa"/>
                  <w:tcBorders>
                    <w:top w:val="single" w:sz="8" w:space="0" w:color="auto"/>
                    <w:left w:val="single" w:sz="8" w:space="0" w:color="auto"/>
                    <w:bottom w:val="single" w:sz="8" w:space="0" w:color="auto"/>
                    <w:right w:val="single" w:sz="8" w:space="0" w:color="auto"/>
                  </w:tcBorders>
                </w:tcPr>
                <w:p w14:paraId="6D44A2E0" w14:textId="77777777" w:rsidR="00485716" w:rsidRDefault="00273E27">
                  <w:pPr>
                    <w:jc w:val="center"/>
                    <w:rPr>
                      <w:szCs w:val="24"/>
                    </w:rPr>
                  </w:pPr>
                  <w:r>
                    <w:rPr>
                      <w:szCs w:val="24"/>
                      <w:lang w:eastAsia="lt-LT"/>
                    </w:rPr>
                    <w:t>01</w:t>
                  </w:r>
                </w:p>
              </w:tc>
              <w:tc>
                <w:tcPr>
                  <w:tcW w:w="5528" w:type="dxa"/>
                  <w:tcBorders>
                    <w:top w:val="single" w:sz="8" w:space="0" w:color="auto"/>
                    <w:left w:val="single" w:sz="8" w:space="0" w:color="auto"/>
                    <w:bottom w:val="single" w:sz="8" w:space="0" w:color="auto"/>
                    <w:right w:val="single" w:sz="8" w:space="0" w:color="auto"/>
                  </w:tcBorders>
                </w:tcPr>
                <w:p w14:paraId="7D296C53" w14:textId="77777777" w:rsidR="00485716" w:rsidRDefault="00273E27">
                  <w:pPr>
                    <w:jc w:val="both"/>
                    <w:rPr>
                      <w:szCs w:val="24"/>
                      <w:lang w:eastAsia="lt-LT"/>
                    </w:rPr>
                  </w:pPr>
                  <w:r>
                    <w:rPr>
                      <w:szCs w:val="24"/>
                      <w:lang w:eastAsia="lt-LT"/>
                    </w:rPr>
                    <w:t>2 proc. netiesioginių išlaidų fiksuotoji norma.</w:t>
                  </w:r>
                </w:p>
              </w:tc>
              <w:tc>
                <w:tcPr>
                  <w:tcW w:w="1814" w:type="dxa"/>
                  <w:tcBorders>
                    <w:left w:val="single" w:sz="8" w:space="0" w:color="auto"/>
                    <w:bottom w:val="single" w:sz="8" w:space="0" w:color="auto"/>
                    <w:right w:val="single" w:sz="8" w:space="0" w:color="auto"/>
                  </w:tcBorders>
                </w:tcPr>
                <w:p w14:paraId="392D9D38" w14:textId="77777777" w:rsidR="00485716" w:rsidRDefault="00273E27">
                  <w:pPr>
                    <w:jc w:val="center"/>
                    <w:rPr>
                      <w:szCs w:val="24"/>
                    </w:rPr>
                  </w:pPr>
                  <w:r>
                    <w:rPr>
                      <w:szCs w:val="24"/>
                    </w:rPr>
                    <w:t>Iš fiksuotosios projekto</w:t>
                  </w:r>
                </w:p>
                <w:p w14:paraId="25F54AEE" w14:textId="77777777" w:rsidR="00485716" w:rsidRDefault="00273E27">
                  <w:pPr>
                    <w:jc w:val="center"/>
                    <w:rPr>
                      <w:szCs w:val="24"/>
                    </w:rPr>
                  </w:pPr>
                  <w:r>
                    <w:rPr>
                      <w:szCs w:val="24"/>
                    </w:rPr>
                    <w:t>išlaidų normos dengiamos</w:t>
                  </w:r>
                </w:p>
                <w:p w14:paraId="4E486147" w14:textId="77777777" w:rsidR="00485716" w:rsidRDefault="00273E27">
                  <w:pPr>
                    <w:jc w:val="center"/>
                    <w:rPr>
                      <w:szCs w:val="24"/>
                    </w:rPr>
                  </w:pPr>
                  <w:r>
                    <w:rPr>
                      <w:szCs w:val="24"/>
                    </w:rPr>
                    <w:lastRenderedPageBreak/>
                    <w:t>JP vykdytojo netiesioginės išlaidos.</w:t>
                  </w:r>
                </w:p>
              </w:tc>
            </w:tr>
          </w:tbl>
          <w:p w14:paraId="383901A8" w14:textId="77777777" w:rsidR="00485716" w:rsidRDefault="00485716">
            <w:pPr>
              <w:jc w:val="both"/>
              <w:rPr>
                <w:i/>
                <w:iCs/>
                <w:szCs w:val="24"/>
              </w:rPr>
            </w:pPr>
          </w:p>
          <w:p w14:paraId="7E016584" w14:textId="77777777" w:rsidR="00485716" w:rsidRDefault="00485716">
            <w:pPr>
              <w:rPr>
                <w:sz w:val="10"/>
                <w:szCs w:val="10"/>
              </w:rPr>
            </w:pPr>
          </w:p>
          <w:p w14:paraId="16A070D7" w14:textId="77777777" w:rsidR="00485716" w:rsidRDefault="00485716">
            <w:pPr>
              <w:jc w:val="both"/>
              <w:rPr>
                <w:i/>
                <w:iCs/>
                <w:szCs w:val="24"/>
              </w:rPr>
            </w:pPr>
          </w:p>
        </w:tc>
      </w:tr>
    </w:tbl>
    <w:p w14:paraId="6F964B6A" w14:textId="77777777" w:rsidR="00485716" w:rsidRDefault="00485716">
      <w:pPr>
        <w:spacing w:line="276" w:lineRule="auto"/>
        <w:jc w:val="center"/>
        <w:rPr>
          <w:rFonts w:eastAsia="Calibri"/>
          <w:sz w:val="22"/>
          <w:szCs w:val="22"/>
        </w:rPr>
      </w:pPr>
    </w:p>
    <w:p w14:paraId="73D812DF" w14:textId="77777777" w:rsidR="00485716" w:rsidRDefault="00485716">
      <w:pPr>
        <w:rPr>
          <w:sz w:val="18"/>
          <w:szCs w:val="18"/>
        </w:rPr>
      </w:pPr>
    </w:p>
    <w:p w14:paraId="4358EE78" w14:textId="77777777" w:rsidR="00485716" w:rsidRDefault="00273E27">
      <w:pPr>
        <w:spacing w:line="276" w:lineRule="auto"/>
        <w:jc w:val="center"/>
        <w:rPr>
          <w:szCs w:val="24"/>
        </w:rPr>
        <w:sectPr w:rsidR="00485716" w:rsidSect="00A64BD3">
          <w:headerReference w:type="even" r:id="rId12"/>
          <w:headerReference w:type="default" r:id="rId13"/>
          <w:footerReference w:type="even" r:id="rId14"/>
          <w:footerReference w:type="default" r:id="rId15"/>
          <w:headerReference w:type="first" r:id="rId16"/>
          <w:footerReference w:type="first" r:id="rId17"/>
          <w:pgSz w:w="16838" w:h="11906" w:orient="landscape"/>
          <w:pgMar w:top="1134" w:right="567" w:bottom="851" w:left="1134" w:header="567" w:footer="567" w:gutter="0"/>
          <w:pgNumType w:start="1"/>
          <w:cols w:space="1296"/>
          <w:titlePg/>
          <w:docGrid w:linePitch="360"/>
        </w:sectPr>
      </w:pPr>
      <w:r>
        <w:rPr>
          <w:rFonts w:eastAsia="Calibri"/>
          <w:szCs w:val="24"/>
        </w:rPr>
        <w:t>________________</w:t>
      </w:r>
      <w:r>
        <w:rPr>
          <w:szCs w:val="24"/>
        </w:rPr>
        <w:br w:type="page"/>
      </w:r>
    </w:p>
    <w:p w14:paraId="45C15C5E" w14:textId="77777777" w:rsidR="00485716" w:rsidRDefault="00485716">
      <w:pPr>
        <w:tabs>
          <w:tab w:val="center" w:pos="4819"/>
          <w:tab w:val="right" w:pos="9638"/>
        </w:tabs>
        <w:rPr>
          <w:sz w:val="22"/>
          <w:szCs w:val="22"/>
        </w:rPr>
      </w:pPr>
    </w:p>
    <w:p w14:paraId="260155C5" w14:textId="77777777" w:rsidR="00485716" w:rsidRDefault="00273E27">
      <w:pPr>
        <w:suppressAutoHyphens/>
        <w:ind w:left="9781"/>
        <w:jc w:val="both"/>
        <w:textAlignment w:val="baseline"/>
        <w:rPr>
          <w:szCs w:val="24"/>
        </w:rPr>
      </w:pPr>
      <w:r>
        <w:rPr>
          <w:szCs w:val="24"/>
        </w:rPr>
        <w:t xml:space="preserve">2022–2030 metų plėtros programos valdytojos Lietuvos Respublikos susisiekimo ministerijos susisiekimo plėtros programos pažangos priemonės </w:t>
      </w:r>
      <w:r>
        <w:rPr>
          <w:szCs w:val="24"/>
          <w:lang w:eastAsia="en-GB"/>
        </w:rPr>
        <w:t>Nr. 10-001-06-01-01 „Skatinti alternatyviųjų degalų naudojimą transporto sektoriuje“ veiklos „</w:t>
      </w:r>
      <w:r>
        <w:rPr>
          <w:szCs w:val="24"/>
        </w:rPr>
        <w:t xml:space="preserve">Viešai prieinamos elektromobilių įkrovimo infrastruktūros įrengimas ir plėtra“ </w:t>
      </w:r>
      <w:proofErr w:type="spellStart"/>
      <w:r>
        <w:rPr>
          <w:szCs w:val="24"/>
        </w:rPr>
        <w:t>poveiklės</w:t>
      </w:r>
      <w:proofErr w:type="spellEnd"/>
      <w:r>
        <w:rPr>
          <w:szCs w:val="24"/>
        </w:rPr>
        <w:t xml:space="preserve"> „</w:t>
      </w:r>
      <w:r>
        <w:t>Viešai prieinamos elektromobilių įkrovimo infrastruktūros įrengimas ir plėtra darnaus judumo miestuose planų nerengusiose savivaldybėse</w:t>
      </w:r>
      <w:r>
        <w:rPr>
          <w:szCs w:val="24"/>
        </w:rPr>
        <w:t xml:space="preserve"> (vietose, kurios nustatytos šių savivaldybių iki 2030 m. numatomų įrengti viešųjų</w:t>
      </w:r>
      <w:r>
        <w:t xml:space="preserve"> ir </w:t>
      </w:r>
      <w:r>
        <w:rPr>
          <w:szCs w:val="24"/>
        </w:rPr>
        <w:t>pusiau viešųjų elektromobilių įkrovimo prieigų planuose</w:t>
      </w:r>
      <w:r>
        <w:t>)“</w:t>
      </w:r>
      <w:r>
        <w:rPr>
          <w:szCs w:val="24"/>
        </w:rPr>
        <w:t xml:space="preserve"> projektų finansavimo sąlygų aprašo</w:t>
      </w:r>
    </w:p>
    <w:p w14:paraId="1C443552" w14:textId="77777777" w:rsidR="00485716" w:rsidRDefault="00273E27">
      <w:pPr>
        <w:ind w:left="9781"/>
        <w:jc w:val="both"/>
        <w:rPr>
          <w:szCs w:val="24"/>
        </w:rPr>
      </w:pPr>
      <w:r>
        <w:rPr>
          <w:szCs w:val="24"/>
        </w:rPr>
        <w:t>1 priedas</w:t>
      </w:r>
    </w:p>
    <w:p w14:paraId="7FBE3A97" w14:textId="77777777" w:rsidR="00485716" w:rsidRDefault="00485716">
      <w:pPr>
        <w:jc w:val="center"/>
        <w:rPr>
          <w:rFonts w:eastAsia="Calibri"/>
          <w:b/>
          <w:bCs/>
          <w:szCs w:val="24"/>
        </w:rPr>
      </w:pPr>
    </w:p>
    <w:p w14:paraId="3FDAAEB6" w14:textId="77777777" w:rsidR="00485716" w:rsidRDefault="00273E27">
      <w:pPr>
        <w:jc w:val="center"/>
        <w:rPr>
          <w:rFonts w:eastAsia="Calibri"/>
          <w:b/>
          <w:bCs/>
          <w:szCs w:val="24"/>
        </w:rPr>
      </w:pPr>
      <w:r>
        <w:rPr>
          <w:rFonts w:eastAsia="Calibri"/>
          <w:b/>
          <w:bCs/>
          <w:szCs w:val="24"/>
        </w:rPr>
        <w:t xml:space="preserve">PROJEKTO </w:t>
      </w:r>
      <w:r>
        <w:rPr>
          <w:b/>
          <w:bCs/>
          <w:iCs/>
          <w:szCs w:val="24"/>
        </w:rPr>
        <w:t>(ĮSKAITANT JUNGTINĮ PROJEKTĄ)</w:t>
      </w:r>
      <w:r>
        <w:rPr>
          <w:iCs/>
          <w:szCs w:val="24"/>
        </w:rPr>
        <w:t xml:space="preserve"> </w:t>
      </w:r>
      <w:r>
        <w:rPr>
          <w:rFonts w:eastAsia="Calibri"/>
          <w:b/>
          <w:bCs/>
          <w:szCs w:val="24"/>
        </w:rPr>
        <w:t>ATITIKTIES REIKŠMINGOS ŽALOS NEDARYMO HORIZONTALIAJAM PRINCIPUI VERTINIMO REIKALAVIMŲ APRAŠAS</w:t>
      </w:r>
    </w:p>
    <w:p w14:paraId="436D5FB2" w14:textId="77777777" w:rsidR="00485716" w:rsidRDefault="00485716">
      <w:pPr>
        <w:jc w:val="center"/>
        <w:rPr>
          <w:rFonts w:eastAsia="Calibri"/>
          <w:b/>
          <w:bCs/>
          <w:szCs w:val="24"/>
        </w:rPr>
      </w:pPr>
    </w:p>
    <w:p w14:paraId="55FD18DD" w14:textId="77777777" w:rsidR="00485716" w:rsidRDefault="00273E27">
      <w:pPr>
        <w:spacing w:line="276" w:lineRule="auto"/>
        <w:jc w:val="both"/>
        <w:rPr>
          <w:rFonts w:eastAsia="Calibri"/>
          <w:bCs/>
          <w:szCs w:val="24"/>
        </w:rPr>
      </w:pPr>
      <w:r>
        <w:t xml:space="preserve">x </w:t>
      </w:r>
      <w:r>
        <w:rPr>
          <w:rFonts w:eastAsia="Calibri"/>
          <w:bCs/>
          <w:szCs w:val="24"/>
        </w:rPr>
        <w:t>Ekonomikos gaivinimo ir atsparumo didinimo priemonė</w:t>
      </w:r>
    </w:p>
    <w:p w14:paraId="69AFB105" w14:textId="77777777" w:rsidR="00485716" w:rsidRDefault="00273E27">
      <w:pPr>
        <w:spacing w:line="276" w:lineRule="auto"/>
        <w:jc w:val="both"/>
        <w:rPr>
          <w:rFonts w:eastAsia="Calibri"/>
          <w:bCs/>
          <w:szCs w:val="24"/>
        </w:rPr>
      </w:pPr>
      <w:r>
        <w:sym w:font="Wingdings 2" w:char="00A3"/>
      </w:r>
      <w:r>
        <w:t xml:space="preserve"> Europos Sąjungos fondų i</w:t>
      </w:r>
      <w:r>
        <w:rPr>
          <w:rFonts w:eastAsia="Calibri"/>
          <w:bCs/>
          <w:szCs w:val="24"/>
        </w:rPr>
        <w:t>nvesticijų programa</w:t>
      </w:r>
    </w:p>
    <w:p w14:paraId="14270BBF" w14:textId="77777777" w:rsidR="00485716" w:rsidRDefault="00485716">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954"/>
        <w:gridCol w:w="6095"/>
      </w:tblGrid>
      <w:tr w:rsidR="00485716" w14:paraId="5333E817" w14:textId="77777777">
        <w:tc>
          <w:tcPr>
            <w:tcW w:w="3261" w:type="dxa"/>
          </w:tcPr>
          <w:p w14:paraId="38FA6CB0" w14:textId="77777777" w:rsidR="00485716" w:rsidRDefault="00273E27">
            <w:pPr>
              <w:jc w:val="center"/>
              <w:rPr>
                <w:rFonts w:eastAsia="Calibri"/>
                <w:b/>
                <w:szCs w:val="24"/>
              </w:rPr>
            </w:pPr>
            <w:r>
              <w:rPr>
                <w:rFonts w:eastAsia="Calibri"/>
                <w:b/>
                <w:szCs w:val="24"/>
              </w:rPr>
              <w:t>Aplinkos tikslai</w:t>
            </w:r>
          </w:p>
          <w:p w14:paraId="7A286EA8" w14:textId="77777777" w:rsidR="00485716" w:rsidRDefault="00485716">
            <w:pPr>
              <w:jc w:val="both"/>
              <w:rPr>
                <w:rFonts w:eastAsia="Calibri"/>
                <w:b/>
                <w:szCs w:val="24"/>
              </w:rPr>
            </w:pPr>
          </w:p>
        </w:tc>
        <w:tc>
          <w:tcPr>
            <w:tcW w:w="5954" w:type="dxa"/>
          </w:tcPr>
          <w:p w14:paraId="7C2A113F" w14:textId="77777777" w:rsidR="00485716" w:rsidRDefault="00273E27">
            <w:pPr>
              <w:jc w:val="center"/>
              <w:rPr>
                <w:rFonts w:eastAsia="Calibri"/>
                <w:b/>
                <w:szCs w:val="24"/>
              </w:rPr>
            </w:pPr>
            <w:r>
              <w:rPr>
                <w:rFonts w:eastAsia="Calibri"/>
                <w:b/>
                <w:szCs w:val="24"/>
              </w:rPr>
              <w:t>Su Europos Komisija suderintas pagrindimas</w:t>
            </w:r>
          </w:p>
          <w:p w14:paraId="74E4A594" w14:textId="77777777" w:rsidR="00485716" w:rsidRDefault="00485716">
            <w:pPr>
              <w:jc w:val="both"/>
              <w:rPr>
                <w:rFonts w:eastAsia="Calibri"/>
                <w:b/>
                <w:szCs w:val="24"/>
              </w:rPr>
            </w:pPr>
          </w:p>
        </w:tc>
        <w:tc>
          <w:tcPr>
            <w:tcW w:w="6095" w:type="dxa"/>
          </w:tcPr>
          <w:p w14:paraId="02B11D2C" w14:textId="77777777" w:rsidR="00485716" w:rsidRDefault="00273E27">
            <w:pPr>
              <w:jc w:val="center"/>
              <w:rPr>
                <w:rFonts w:eastAsia="Calibri"/>
                <w:i/>
                <w:sz w:val="20"/>
              </w:rPr>
            </w:pPr>
            <w:r>
              <w:rPr>
                <w:rFonts w:eastAsia="Calibri"/>
                <w:b/>
                <w:szCs w:val="24"/>
              </w:rPr>
              <w:t>Pagrindimo dokumentai</w:t>
            </w:r>
          </w:p>
          <w:p w14:paraId="5FB8E4F1" w14:textId="77777777" w:rsidR="00485716" w:rsidRDefault="00485716">
            <w:pPr>
              <w:jc w:val="both"/>
              <w:rPr>
                <w:rFonts w:eastAsia="Calibri"/>
                <w:i/>
                <w:szCs w:val="24"/>
              </w:rPr>
            </w:pPr>
          </w:p>
        </w:tc>
      </w:tr>
      <w:tr w:rsidR="00485716" w14:paraId="32C7BC51" w14:textId="77777777">
        <w:tc>
          <w:tcPr>
            <w:tcW w:w="3261" w:type="dxa"/>
          </w:tcPr>
          <w:p w14:paraId="095B927A" w14:textId="77777777" w:rsidR="00485716" w:rsidRDefault="00273E2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5954" w:type="dxa"/>
          </w:tcPr>
          <w:p w14:paraId="190EF6D0" w14:textId="77777777" w:rsidR="00485716" w:rsidRDefault="00273E27">
            <w:pPr>
              <w:jc w:val="both"/>
              <w:rPr>
                <w:szCs w:val="24"/>
              </w:rPr>
            </w:pPr>
            <w:r>
              <w:rPr>
                <w:szCs w:val="24"/>
              </w:rPr>
              <w:t xml:space="preserve">Vertinama, kad veikla </w:t>
            </w:r>
            <w:r>
              <w:t>„</w:t>
            </w:r>
            <w:r>
              <w:rPr>
                <w:szCs w:val="18"/>
              </w:rPr>
              <w:t>Viešai prieinamos elektromobilių įkrovimo infrastruktūros įrengimas ir plėtra darnaus judumo miestuose planų nerengusiose savivaldybėse</w:t>
            </w:r>
            <w:r>
              <w:rPr>
                <w:szCs w:val="24"/>
              </w:rPr>
              <w:t xml:space="preserve"> (vietose, kurios nustatytos šių savivaldybių iki 2030 metų numatomų įrengti viešųjų</w:t>
            </w:r>
            <w:r>
              <w:rPr>
                <w:szCs w:val="18"/>
              </w:rPr>
              <w:t xml:space="preserve"> ir </w:t>
            </w:r>
            <w:r>
              <w:rPr>
                <w:szCs w:val="24"/>
              </w:rPr>
              <w:t>pusiau viešųjų elektromobilių įkrovimo prieigų planuose),“ 100 procentų prisidedama prie klimato kaitos švelninimo:</w:t>
            </w:r>
          </w:p>
          <w:p w14:paraId="6E1F4EA5" w14:textId="77777777" w:rsidR="00485716" w:rsidRDefault="00273E27">
            <w:pPr>
              <w:jc w:val="both"/>
              <w:rPr>
                <w:rFonts w:eastAsia="Calibri"/>
                <w:sz w:val="20"/>
              </w:rPr>
            </w:pPr>
            <w:r>
              <w:rPr>
                <w:szCs w:val="24"/>
              </w:rPr>
              <w:lastRenderedPageBreak/>
              <w:t xml:space="preserve">Vadovaujantis </w:t>
            </w:r>
            <w:r>
              <w:rPr>
                <w:szCs w:val="24"/>
                <w:lang w:eastAsia="lt-LT"/>
              </w:rPr>
              <w:t xml:space="preserve">2021 m. vasario 12 d. Europos Parlamento ir Tarybos </w:t>
            </w:r>
            <w:r>
              <w:rPr>
                <w:lang w:eastAsia="lt-LT"/>
              </w:rPr>
              <w:t>reglamento</w:t>
            </w:r>
            <w:r>
              <w:rPr>
                <w:szCs w:val="24"/>
              </w:rPr>
              <w:t xml:space="preserve"> (ES) 2021/241,</w:t>
            </w:r>
            <w:r>
              <w:rPr>
                <w:szCs w:val="24"/>
                <w:lang w:eastAsia="lt-LT"/>
              </w:rPr>
              <w:t xml:space="preserve"> kuriuo nustatoma ekonomikos gaivinimo ir atsparumo didinimo priemonė (toliau – </w:t>
            </w:r>
            <w:r>
              <w:rPr>
                <w:szCs w:val="24"/>
              </w:rPr>
              <w:t>Reglamentas (ES) 2021/241)</w:t>
            </w:r>
            <w:r>
              <w:rPr>
                <w:szCs w:val="24"/>
                <w:lang w:eastAsia="lt-LT"/>
              </w:rPr>
              <w:t>,</w:t>
            </w:r>
            <w:r>
              <w:rPr>
                <w:szCs w:val="24"/>
              </w:rPr>
              <w:t xml:space="preserve"> VI priedo klasifikatoriumi taikomas 100 proc. paramos, siekiant su klimato kaita susijusių tikslų, skaičiavimo koeficientas (077). Elektromobilių įkrovimo infrastruktūra skatina visai netaršių transporto priemonių įsigijimą, todėl gali būti laikoma būtina investicija, leidžiančia pereiti prie efektyvios klimatui neutralios ekonomikos, mažinančia </w:t>
            </w:r>
            <w:r>
              <w:rPr>
                <w:rFonts w:eastAsia="Calibri"/>
                <w:bCs/>
                <w:iCs/>
                <w:szCs w:val="24"/>
              </w:rPr>
              <w:t xml:space="preserve">šiltnamio efektą sukeliančių dujų </w:t>
            </w:r>
            <w:r>
              <w:rPr>
                <w:szCs w:val="24"/>
              </w:rPr>
              <w:t xml:space="preserve">emisijas, didinančia švaraus ar neutralaus poveikio klimatui judumą. Investicija atitinka Lietuvos Respublikos alternatyviųjų degalų įstatymo ir </w:t>
            </w:r>
            <w:r>
              <w:rPr>
                <w:shd w:val="clear" w:color="auto" w:fill="FFFFFF"/>
              </w:rPr>
              <w:t xml:space="preserve">2018 m. gruodžio 11 d. </w:t>
            </w:r>
            <w:r>
              <w:rPr>
                <w:szCs w:val="24"/>
              </w:rPr>
              <w:t>Europos Parlamento ir Tarybos direktyvos (ES) 2018/2001</w:t>
            </w:r>
            <w:r>
              <w:rPr>
                <w:shd w:val="clear" w:color="auto" w:fill="FFFFFF"/>
              </w:rPr>
              <w:t xml:space="preserve"> dėl skatinimo naudoti atsinaujinančiųjų išteklių energiją</w:t>
            </w:r>
            <w:r>
              <w:rPr>
                <w:szCs w:val="24"/>
              </w:rPr>
              <w:t xml:space="preserve"> (RED II) (toliau – Direktyva (ES) 2018/2001 (RED II) nuostatas.</w:t>
            </w:r>
          </w:p>
        </w:tc>
        <w:tc>
          <w:tcPr>
            <w:tcW w:w="6095" w:type="dxa"/>
          </w:tcPr>
          <w:p w14:paraId="4218FBEA" w14:textId="77777777" w:rsidR="00485716" w:rsidRDefault="00273E27">
            <w:pPr>
              <w:jc w:val="both"/>
              <w:rPr>
                <w:rFonts w:eastAsia="Calibri"/>
                <w:bCs/>
                <w:szCs w:val="24"/>
              </w:rPr>
            </w:pPr>
            <w:r>
              <w:rPr>
                <w:szCs w:val="24"/>
              </w:rPr>
              <w:lastRenderedPageBreak/>
              <w:t xml:space="preserve">Veikla 100 proc. prisideda prie klimato kaitos švelninimo. Jungtinio projekto </w:t>
            </w:r>
            <w:proofErr w:type="spellStart"/>
            <w:r>
              <w:rPr>
                <w:szCs w:val="24"/>
              </w:rPr>
              <w:t>projekto</w:t>
            </w:r>
            <w:proofErr w:type="spellEnd"/>
            <w:r>
              <w:rPr>
                <w:szCs w:val="24"/>
              </w:rPr>
              <w:t xml:space="preserve"> </w:t>
            </w:r>
            <w:r>
              <w:t xml:space="preserve">(toliau – JP projektas) </w:t>
            </w:r>
            <w:r>
              <w:rPr>
                <w:szCs w:val="24"/>
              </w:rPr>
              <w:t xml:space="preserve">finansuojama veikla ir rezultatas – </w:t>
            </w:r>
            <w:r>
              <w:t>paslaugas teikiančios v</w:t>
            </w:r>
            <w:r>
              <w:rPr>
                <w:szCs w:val="24"/>
              </w:rPr>
              <w:t>iešai prieinamos elektromobilių</w:t>
            </w:r>
            <w:r>
              <w:t xml:space="preserve"> įkrovimo prieigos </w:t>
            </w:r>
            <w:r>
              <w:rPr>
                <w:szCs w:val="24"/>
              </w:rPr>
              <w:t>– tiesiogiai prisideda prie klimato kaitos švelninimo,</w:t>
            </w:r>
            <w:r>
              <w:rPr>
                <w:rFonts w:eastAsia="Calibri"/>
                <w:bCs/>
                <w:szCs w:val="24"/>
              </w:rPr>
              <w:t xml:space="preserve"> todėl pagrindimo dokumentai neteikiami.</w:t>
            </w:r>
          </w:p>
          <w:p w14:paraId="5385101B" w14:textId="77777777" w:rsidR="00485716" w:rsidRDefault="00273E27">
            <w:pPr>
              <w:tabs>
                <w:tab w:val="left" w:pos="589"/>
              </w:tabs>
              <w:jc w:val="both"/>
              <w:rPr>
                <w:rFonts w:eastAsia="Calibri"/>
                <w:i/>
                <w:sz w:val="20"/>
              </w:rPr>
            </w:pPr>
            <w:r>
              <w:rPr>
                <w:szCs w:val="24"/>
              </w:rPr>
              <w:t xml:space="preserve">Kartu su mokėjimo prašymu JP projekto vykdytojas teiks </w:t>
            </w:r>
            <w:r>
              <w:t xml:space="preserve">2022–2030 metų plėtros programos valdytojos Lietuvos </w:t>
            </w:r>
            <w:r>
              <w:lastRenderedPageBreak/>
              <w:t xml:space="preserve">Respublikos susisiekimo ministerijos susisiekimo plėtros programos pažangos priemonės Nr. 10-001-06-01-01 „Skatinti alternatyviųjų degalų naudojimą transporto sektoriuje“ veiklos </w:t>
            </w:r>
            <w:r>
              <w:rPr>
                <w:szCs w:val="24"/>
              </w:rPr>
              <w:t>„Viešai prieinamos elektromobilių įkrovimo infrastruktūros įrengimas ir plėtra</w:t>
            </w:r>
            <w:r>
              <w:t xml:space="preserve">“ </w:t>
            </w:r>
            <w:proofErr w:type="spellStart"/>
            <w:r>
              <w:t>poveiklės</w:t>
            </w:r>
            <w:proofErr w:type="spellEnd"/>
            <w:r>
              <w:t xml:space="preserve"> </w:t>
            </w:r>
            <w:r>
              <w:rPr>
                <w:szCs w:val="24"/>
              </w:rPr>
              <w:t>„</w:t>
            </w:r>
            <w:r>
              <w:rPr>
                <w:szCs w:val="18"/>
              </w:rPr>
              <w:t>Viešai prieinamos elektromobilių įkrovimo infrastruktūros įrengimas ir plėtra darnaus judumo miestuose planų nerengusiose savivaldybėse</w:t>
            </w:r>
            <w:r>
              <w:rPr>
                <w:szCs w:val="24"/>
              </w:rPr>
              <w:t xml:space="preserve"> (vietose, kurios nustatytos šių savivaldybių iki 2030 metų numatomų įrengti viešųjų</w:t>
            </w:r>
            <w:r>
              <w:rPr>
                <w:szCs w:val="18"/>
              </w:rPr>
              <w:t xml:space="preserve"> ir </w:t>
            </w:r>
            <w:r>
              <w:rPr>
                <w:szCs w:val="24"/>
              </w:rPr>
              <w:t xml:space="preserve">pusiau viešųjų elektromobilių įkrovimo prieigų planuose),“ </w:t>
            </w:r>
            <w:r>
              <w:t>projektų finansavimo sąlygų apraše (toliau – Aprašas)</w:t>
            </w:r>
            <w:r>
              <w:rPr>
                <w:szCs w:val="24"/>
              </w:rPr>
              <w:t xml:space="preserve"> / kvietime teikti paraiškas nurodytus elektromobilių įkrovimo infrastruktūros įrengimą įrodančius dokumentus.</w:t>
            </w:r>
          </w:p>
        </w:tc>
      </w:tr>
      <w:tr w:rsidR="00485716" w14:paraId="17E9F5D5" w14:textId="77777777">
        <w:tc>
          <w:tcPr>
            <w:tcW w:w="3261" w:type="dxa"/>
          </w:tcPr>
          <w:p w14:paraId="33904778" w14:textId="77777777" w:rsidR="00485716" w:rsidRDefault="00273E27">
            <w:pPr>
              <w:tabs>
                <w:tab w:val="left" w:pos="289"/>
              </w:tabs>
              <w:ind w:firstLine="5"/>
              <w:jc w:val="both"/>
              <w:rPr>
                <w:rFonts w:eastAsia="Calibri"/>
                <w:szCs w:val="24"/>
              </w:rPr>
            </w:pPr>
            <w:r>
              <w:rPr>
                <w:rFonts w:eastAsia="Calibri"/>
                <w:szCs w:val="24"/>
              </w:rPr>
              <w:lastRenderedPageBreak/>
              <w:t>2.</w:t>
            </w:r>
            <w:r>
              <w:rPr>
                <w:rFonts w:eastAsia="Calibri"/>
                <w:szCs w:val="24"/>
              </w:rPr>
              <w:tab/>
              <w:t>Prisitaikymas prie klimato kaitos</w:t>
            </w:r>
          </w:p>
        </w:tc>
        <w:tc>
          <w:tcPr>
            <w:tcW w:w="5954" w:type="dxa"/>
          </w:tcPr>
          <w:p w14:paraId="41128A7B" w14:textId="77777777" w:rsidR="00485716" w:rsidRDefault="00273E27">
            <w:pPr>
              <w:jc w:val="both"/>
              <w:rPr>
                <w:szCs w:val="24"/>
              </w:rPr>
            </w:pPr>
            <w:r>
              <w:rPr>
                <w:szCs w:val="24"/>
              </w:rPr>
              <w:t xml:space="preserve">Vertinama, kad planuojama įgyvendinti veikla </w:t>
            </w:r>
            <w:r>
              <w:t>„</w:t>
            </w:r>
            <w:r>
              <w:rPr>
                <w:szCs w:val="18"/>
              </w:rPr>
              <w:t>Viešai prieinamos elektromobilių įkrovimo infrastruktūros įrengimas ir plėtra darnaus judumo miestuose planų nerengusiose savivaldybėse</w:t>
            </w:r>
            <w:r>
              <w:rPr>
                <w:szCs w:val="24"/>
              </w:rPr>
              <w:t xml:space="preserve"> (vietose, kurios nustatytos šių savivaldybių iki 2030 metų numatomų įrengti viešųjų</w:t>
            </w:r>
            <w:r>
              <w:rPr>
                <w:szCs w:val="18"/>
              </w:rPr>
              <w:t xml:space="preserve"> ir </w:t>
            </w:r>
            <w:r>
              <w:rPr>
                <w:szCs w:val="24"/>
              </w:rPr>
              <w:t>pusiau viešųjų elektromobilių įkrovimo prieigų planuose),“</w:t>
            </w:r>
            <w:r>
              <w:rPr>
                <w:szCs w:val="18"/>
              </w:rPr>
              <w:t xml:space="preserve"> </w:t>
            </w:r>
            <w:r>
              <w:rPr>
                <w:szCs w:val="24"/>
              </w:rPr>
              <w:t>neturi jokio numatomo poveikio šiam aplinkos tikslui arba numatomas jos poveikis yra nereikšmingas, t. y. nedaro tiesioginio ir pirminio netiesioginio poveikio per visą gyvavimo ciklą, todėl laikoma, kad investicija atitinka prisitaikymo prie klimato kaitos tikslą.</w:t>
            </w:r>
          </w:p>
          <w:p w14:paraId="7F5759E3" w14:textId="77777777" w:rsidR="00485716" w:rsidRDefault="00273E27">
            <w:pPr>
              <w:jc w:val="both"/>
            </w:pPr>
            <w:r>
              <w:rPr>
                <w:szCs w:val="24"/>
              </w:rPr>
              <w:t>Vadovaujantis Reglamento (ES) 2021/241 VI priedo klasifikatoriumi taikomas 100 proc. paramos, siekiant su klimato kaita susijusių tikslų, skaičiavimo koeficientas (077).</w:t>
            </w:r>
          </w:p>
          <w:p w14:paraId="55204510" w14:textId="77777777" w:rsidR="00485716" w:rsidRDefault="00273E27">
            <w:pPr>
              <w:jc w:val="both"/>
            </w:pPr>
            <w:r>
              <w:rPr>
                <w:szCs w:val="24"/>
              </w:rPr>
              <w:lastRenderedPageBreak/>
              <w:t>Planuojamos investicijos neturės neigiamos įtakos prisitaikymo prie klimato kaitos pastangoms ar atsparumui žmonių, gamtos, turto ir kitos ekonominės veiklos rizikai ir yra suderintos su vietos, sektoriaus ir šalies prisitaikymo pastangomis.</w:t>
            </w:r>
          </w:p>
          <w:p w14:paraId="52064A5B" w14:textId="77777777" w:rsidR="00485716" w:rsidRDefault="00273E27">
            <w:pPr>
              <w:jc w:val="both"/>
              <w:rPr>
                <w:rFonts w:eastAsia="Calibri"/>
                <w:bCs/>
                <w:szCs w:val="24"/>
              </w:rPr>
            </w:pPr>
            <w:r>
              <w:rPr>
                <w:szCs w:val="24"/>
              </w:rPr>
              <w:t>Investicija atitinka Alternatyviųjų degalų įstatymo ir Direktyvos (ES) 2018/2001 (RED II nuostatas, elektromobilių įkrovimo infrastruktūra bus tiekiama elektros energija iš atsinaujinančių energijos išteklių.</w:t>
            </w:r>
          </w:p>
        </w:tc>
        <w:tc>
          <w:tcPr>
            <w:tcW w:w="6095" w:type="dxa"/>
          </w:tcPr>
          <w:p w14:paraId="565F7334" w14:textId="77777777" w:rsidR="00485716" w:rsidRDefault="00273E27">
            <w:pPr>
              <w:jc w:val="both"/>
              <w:rPr>
                <w:rFonts w:eastAsia="Calibri"/>
                <w:bCs/>
                <w:szCs w:val="24"/>
              </w:rPr>
            </w:pPr>
            <w:r>
              <w:rPr>
                <w:szCs w:val="24"/>
              </w:rPr>
              <w:lastRenderedPageBreak/>
              <w:t xml:space="preserve">JP projekto finansuojama veikla ir rezultatas – </w:t>
            </w:r>
            <w:r>
              <w:t>paslaugas teikiančios viešai prieinamos</w:t>
            </w:r>
            <w:r>
              <w:rPr>
                <w:szCs w:val="24"/>
              </w:rPr>
              <w:t xml:space="preserve"> elektromobilių</w:t>
            </w:r>
            <w:r>
              <w:t xml:space="preserve"> įkrovimo prieigos – </w:t>
            </w:r>
            <w:r>
              <w:rPr>
                <w:rFonts w:eastAsia="Calibri"/>
                <w:bCs/>
                <w:szCs w:val="24"/>
              </w:rPr>
              <w:t>neturės tiesioginio ar netiesioginio neigiamo poveikio prisitaikymo prie klimato kaitos tikslui, todėl pagrindimo dokumentai neteikiami.</w:t>
            </w:r>
          </w:p>
          <w:p w14:paraId="26D36C2E" w14:textId="77777777" w:rsidR="00485716" w:rsidRDefault="00273E27">
            <w:pPr>
              <w:jc w:val="both"/>
              <w:rPr>
                <w:rFonts w:eastAsia="Calibri"/>
                <w:b/>
                <w:sz w:val="22"/>
                <w:szCs w:val="18"/>
              </w:rPr>
            </w:pPr>
            <w:r>
              <w:rPr>
                <w:szCs w:val="24"/>
              </w:rPr>
              <w:t xml:space="preserve">Kartu su mokėjimo prašymu JP projekto vykdytojas teiks </w:t>
            </w:r>
            <w:r>
              <w:t>Apraše</w:t>
            </w:r>
            <w:r>
              <w:rPr>
                <w:szCs w:val="24"/>
              </w:rPr>
              <w:t xml:space="preserve"> / kvietime teikti paraiškas nurodytus elektromobilių įkrovimo infrastruktūros įrengimą įrodančius dokumentus.</w:t>
            </w:r>
          </w:p>
        </w:tc>
      </w:tr>
      <w:tr w:rsidR="00485716" w14:paraId="5A64C65C" w14:textId="77777777">
        <w:tc>
          <w:tcPr>
            <w:tcW w:w="3261" w:type="dxa"/>
          </w:tcPr>
          <w:p w14:paraId="0588AD0C" w14:textId="77777777" w:rsidR="00485716" w:rsidRDefault="00273E2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5954" w:type="dxa"/>
          </w:tcPr>
          <w:p w14:paraId="67634F78" w14:textId="77777777" w:rsidR="00485716" w:rsidRDefault="00273E27">
            <w:pPr>
              <w:jc w:val="both"/>
              <w:rPr>
                <w:bCs/>
                <w:szCs w:val="24"/>
              </w:rPr>
            </w:pPr>
            <w:r>
              <w:rPr>
                <w:bCs/>
                <w:szCs w:val="24"/>
              </w:rPr>
              <w:t xml:space="preserve">Vertinama, kad planuojama įgyvendinti veikla </w:t>
            </w:r>
            <w:r>
              <w:t>„</w:t>
            </w:r>
            <w:r>
              <w:rPr>
                <w:szCs w:val="18"/>
              </w:rPr>
              <w:t>Viešai prieinamos elektromobilių įkrovimo infrastruktūros įrengimas ir plėtra darnaus judumo miestuose planų nerengusiose savivaldybėse</w:t>
            </w:r>
            <w:r>
              <w:rPr>
                <w:szCs w:val="24"/>
              </w:rPr>
              <w:t xml:space="preserve"> (vietose, kurios nustatytos šių savivaldybių iki 2030 metų numatomų įrengti viešųjų</w:t>
            </w:r>
            <w:r>
              <w:rPr>
                <w:szCs w:val="18"/>
              </w:rPr>
              <w:t xml:space="preserve"> ir </w:t>
            </w:r>
            <w:r>
              <w:rPr>
                <w:szCs w:val="24"/>
              </w:rPr>
              <w:t>pusiau viešųjų elektromobilių įkrovimo prieigų planuose),“</w:t>
            </w:r>
            <w:r>
              <w:rPr>
                <w:szCs w:val="18"/>
              </w:rPr>
              <w:t xml:space="preserve"> </w:t>
            </w:r>
            <w:r>
              <w:rPr>
                <w:bCs/>
                <w:szCs w:val="24"/>
              </w:rPr>
              <w:t>neturi jokio numatomo poveikio šiam aplinkos tikslui arba numatomas jos poveikis yra nereikšmingas, t. y. nedaro tiesioginio ir pirminio netiesioginio poveikio per visą gyvavimo ciklą, todėl laikoma, kad investicija atitinka tausaus vandens ir jūrų išteklių naudojimo ir apsaugos tikslą.</w:t>
            </w:r>
          </w:p>
          <w:p w14:paraId="67EC8B94" w14:textId="77777777" w:rsidR="00485716" w:rsidRDefault="00273E27">
            <w:pPr>
              <w:tabs>
                <w:tab w:val="left" w:pos="34"/>
              </w:tabs>
              <w:ind w:left="51"/>
              <w:jc w:val="both"/>
              <w:rPr>
                <w:szCs w:val="24"/>
              </w:rPr>
            </w:pPr>
            <w:r>
              <w:rPr>
                <w:szCs w:val="24"/>
              </w:rPr>
              <w:t>Investicinės veiklos neturės jokio neigiamo tiesioginio ar netiesioginio poveikio tausaus vandens ir jūsų išteklių naudojimo ir apsaugos tikslui, nes neplanuojama statyti jokios infrastruktūros vandens telkinių apsaugos zonose ir neplanuojama kurti būsimos infrastruktūros arti vandens telkinių, kas galėtų turėti neigiamą poveikį tausaus vandens ir jūrų išteklių naudojimui.</w:t>
            </w:r>
          </w:p>
          <w:p w14:paraId="78B39690" w14:textId="77777777" w:rsidR="00485716" w:rsidRDefault="00273E27">
            <w:pPr>
              <w:tabs>
                <w:tab w:val="left" w:pos="34"/>
              </w:tabs>
              <w:ind w:left="51"/>
              <w:jc w:val="both"/>
              <w:rPr>
                <w:rFonts w:eastAsia="Calibri"/>
                <w:bCs/>
                <w:sz w:val="22"/>
                <w:szCs w:val="24"/>
              </w:rPr>
            </w:pPr>
            <w:r>
              <w:rPr>
                <w:szCs w:val="24"/>
              </w:rPr>
              <w:t xml:space="preserve">Pagal 2011 m. gruodžio 13 d. Europos Parlamento ir Tarybos direktyvą 2011/92/ES dėl tam tikrų valstybės ir privačių projektų poveikio aplinkai vertinimo su paskutiniais pakeitimais, padarytais 2014 m. balandžio 16 d. Europos Parlamento ir Tarybos direktyva 2014/52/ES </w:t>
            </w:r>
            <w:r>
              <w:rPr>
                <w:szCs w:val="24"/>
              </w:rPr>
              <w:lastRenderedPageBreak/>
              <w:t xml:space="preserve">(toliau – Direktyva 2011/92/ES), bus atliktas poveikio aplinkai vertinimas (toliau </w:t>
            </w:r>
            <w:r>
              <w:rPr>
                <w:szCs w:val="24"/>
                <w:lang w:eastAsia="lt-LT"/>
              </w:rPr>
              <w:t>–</w:t>
            </w:r>
            <w:r>
              <w:rPr>
                <w:szCs w:val="24"/>
              </w:rPr>
              <w:t xml:space="preserve"> PAV) arba analizė (procedūra, pagal kurią kompetentinga institucija nustato, ar turi būti atliekamas Direktyvos 2011/92/ES II priede išvardytų projektų PAV (kaip nurodyta Direktyvos 2011/92/ES 4 straipsnio 2 dalyje). Jei bus atliktas PAV, nustatyti neatitikimai ar rizikos dėl žalos padarymo vandens ištekliams turės būti nedelsiant pašalinami.</w:t>
            </w:r>
          </w:p>
        </w:tc>
        <w:tc>
          <w:tcPr>
            <w:tcW w:w="6095" w:type="dxa"/>
          </w:tcPr>
          <w:p w14:paraId="1CA3FE70" w14:textId="77777777" w:rsidR="00485716" w:rsidRDefault="00273E27">
            <w:pPr>
              <w:tabs>
                <w:tab w:val="left" w:pos="556"/>
              </w:tabs>
              <w:ind w:left="35" w:firstLine="24"/>
              <w:jc w:val="both"/>
              <w:rPr>
                <w:rFonts w:eastAsia="Calibri"/>
                <w:bCs/>
                <w:szCs w:val="24"/>
              </w:rPr>
            </w:pPr>
            <w:r>
              <w:lastRenderedPageBreak/>
              <w:t>Vadovaujantis Lietuvos Respublikos planuojamos ūkinės veiklos poveikio aplinkai vertinimo įstatymu, iki paraiškos pateikimo pareiškėjas turi būti atlikęs poveikio aplinkai vertinimą ir turi būti pateikti atsakingos institucijos galiojantys dokumentai (jeigu taikoma). Paraiškoje pateiktas pagrindimas apie statomų įrenginių vietovę, kur numatyta statyti įrenginius su nuorodomis ar vietovės žemėlapio kopijomis, įrodančiomis, kad neplanuojama statyti jokios infrastruktūros vandens telkinių apsaugos zonose arba neplanuojama kurti būsimos infrastruktūros arti vandens telkinių, kas galėtų turėti neigiamą poveikį tausaus vandens ir jūrų išteklių naudojimui, kita aktuali informacija ir (ar) dokumentai.</w:t>
            </w:r>
          </w:p>
        </w:tc>
      </w:tr>
      <w:tr w:rsidR="00485716" w14:paraId="476DF0FC" w14:textId="77777777">
        <w:tc>
          <w:tcPr>
            <w:tcW w:w="3261" w:type="dxa"/>
          </w:tcPr>
          <w:p w14:paraId="671A8FAF" w14:textId="77777777" w:rsidR="00485716" w:rsidRDefault="00273E2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5954" w:type="dxa"/>
          </w:tcPr>
          <w:p w14:paraId="01072BBB" w14:textId="77777777" w:rsidR="00485716" w:rsidRDefault="00273E27">
            <w:pPr>
              <w:tabs>
                <w:tab w:val="left" w:pos="1245"/>
              </w:tabs>
              <w:jc w:val="both"/>
              <w:rPr>
                <w:bCs/>
                <w:szCs w:val="24"/>
              </w:rPr>
            </w:pPr>
            <w:r>
              <w:rPr>
                <w:bCs/>
                <w:szCs w:val="24"/>
              </w:rPr>
              <w:t xml:space="preserve">Vertinama, kad planuojama įgyvendinti </w:t>
            </w:r>
            <w:r>
              <w:rPr>
                <w:szCs w:val="24"/>
              </w:rPr>
              <w:t xml:space="preserve">veikla </w:t>
            </w:r>
            <w:r>
              <w:t>„</w:t>
            </w:r>
            <w:r>
              <w:rPr>
                <w:szCs w:val="18"/>
              </w:rPr>
              <w:t>Viešai prieinamos elektromobilių įkrovimo infrastruktūros įrengimas ir plėtra darnaus judumo miestuose planų nerengusiose savivaldybėse</w:t>
            </w:r>
            <w:r>
              <w:rPr>
                <w:szCs w:val="24"/>
              </w:rPr>
              <w:t xml:space="preserve"> (vietose, kurios nustatytos šių savivaldybių iki 2030 metų numatomų įrengti viešųjų</w:t>
            </w:r>
            <w:r>
              <w:rPr>
                <w:szCs w:val="18"/>
              </w:rPr>
              <w:t xml:space="preserve"> ir </w:t>
            </w:r>
            <w:r>
              <w:rPr>
                <w:szCs w:val="24"/>
              </w:rPr>
              <w:t>pusiau viešųjų elektromobilių įkrovimo prieigų planuose),“</w:t>
            </w:r>
            <w:r>
              <w:t xml:space="preserve"> </w:t>
            </w:r>
            <w:r>
              <w:rPr>
                <w:bCs/>
                <w:szCs w:val="24"/>
              </w:rPr>
              <w:t>neturi jokio numatomo poveikio šiam aplinkos tikslui arba numatomas jos poveikis yra nereikšmingas, t. y. nedaro tiesioginio ir pirminio netiesioginio poveikio per visą gyvavimo ciklą, todėl laikoma, kad investicinės priemonės atitinka žiedinės ekonomikos, įskaitant atliekų prevenciją ir perdirbimą, tikslą.</w:t>
            </w:r>
          </w:p>
          <w:p w14:paraId="0B2561C7" w14:textId="77777777" w:rsidR="00485716" w:rsidRDefault="00273E27">
            <w:pPr>
              <w:jc w:val="both"/>
              <w:rPr>
                <w:szCs w:val="24"/>
              </w:rPr>
            </w:pPr>
            <w:r>
              <w:rPr>
                <w:szCs w:val="24"/>
              </w:rPr>
              <w:t>Investicinės veiklos neturės jokio neigiamo tiesioginio ar netiesioginio poveikio žiedinės ekonomikos, įskaitant atliekų prevenciją ir perdirbimą, tikslui, nes įgyvendinant Apraše numatytas veiklas užtikrinamas efektyvus atliekų susirinkimas, skatinamas atskirų dalių pakartotinis naudojimas bei statytojams numatyti reikalavimai riboti atliekų susidarymą statybų metu, taikyti naujausius metodus, pakartotinį medžiagų naudojimą ar perdirbimą, naudojantis pažangiomis statybinių atliekų rūšiavimo sistemomis.</w:t>
            </w:r>
          </w:p>
          <w:p w14:paraId="3424D5A7" w14:textId="77777777" w:rsidR="00485716" w:rsidRDefault="00273E27">
            <w:pPr>
              <w:tabs>
                <w:tab w:val="left" w:pos="520"/>
              </w:tabs>
              <w:jc w:val="both"/>
              <w:rPr>
                <w:szCs w:val="24"/>
              </w:rPr>
            </w:pPr>
            <w:r>
              <w:rPr>
                <w:szCs w:val="24"/>
              </w:rPr>
              <w:t>Numatoma:</w:t>
            </w:r>
          </w:p>
          <w:p w14:paraId="04253C27" w14:textId="77777777" w:rsidR="00485716" w:rsidRDefault="00273E27">
            <w:pPr>
              <w:tabs>
                <w:tab w:val="left" w:pos="466"/>
              </w:tabs>
              <w:jc w:val="both"/>
              <w:rPr>
                <w:szCs w:val="24"/>
              </w:rPr>
            </w:pPr>
            <w:r>
              <w:rPr>
                <w:iCs/>
                <w:szCs w:val="24"/>
              </w:rPr>
              <w:lastRenderedPageBreak/>
              <w:t>Mažiausiai 70 procentų (pagal svorį) nepavojingų statybinių ir griovimo atliekų (išskyrus natūraliai atsirandančias medžiagas, nurodytas 2000 m. gegužės 3 d. Komisijos sprendimo 2000/532/EB, keičiančio sprendimą 94/3/EB, nustatantį atliekų sąrašą pagal Tarybos direktyvos 75/442/EEB dėl atliekų 1 straipsnio a dalį, ir Tarybos sprendimą 94/904/EB, nustatantį pavojingų atliekų sąrašą pagal Tarybos direktyvos 91/689/EEB dėl pavojingų medžiagų 1 straipsnio 4 dalį, 17 05 04 kategorijoje), statybvietėje susidarančios atliekos turėtų būti parengtos pakartotinai naudoti, perdirbti ar galimos panaudoti kitoms medžiagoms, įskaitant užpildymo operacijas, naudojant atliekas kitoms medžiagoms pakeisti, laikantis atliekų hierarchijos, nustatytos 2008 m. lapkričio 19 d. Europos Parlamento ir Tarybos direktyvoje 2008/98/EB dėl atliekų ir panaikinančioje kai kurias direktyvas, ir Europos Sąjungos statybos ir griovimo atliekų tvarkymo protokolo.</w:t>
            </w:r>
          </w:p>
          <w:p w14:paraId="23816326" w14:textId="77777777" w:rsidR="00485716" w:rsidRDefault="00273E27">
            <w:pPr>
              <w:tabs>
                <w:tab w:val="left" w:pos="466"/>
              </w:tabs>
              <w:jc w:val="both"/>
              <w:rPr>
                <w:rFonts w:eastAsia="Calibri"/>
                <w:iCs/>
                <w:szCs w:val="24"/>
              </w:rPr>
            </w:pPr>
            <w:r>
              <w:t>Pareiškėjas</w:t>
            </w:r>
            <w:r>
              <w:rPr>
                <w:iCs/>
                <w:szCs w:val="24"/>
              </w:rPr>
              <w:t>, rangovai (subrangovai) bus įpareigoti riboti atliekų susidarymą procesuose, susijusiuose su statyba ir griovimu, laikydamiesi Europos Sąjungos statybos ir griovimo atliekų tvarkymo protokolo, atsižvelgdami į geriausius taikomus metodus ir naudodami selektyvų griovimą, kad būtų galima pašalinti ir saugiai tvarkyti pavojingas medžiagas ir palengvinti pakartotinį jų perdirbimą.</w:t>
            </w:r>
            <w:r>
              <w:rPr>
                <w:rFonts w:eastAsia="Calibri"/>
                <w:iCs/>
                <w:szCs w:val="24"/>
              </w:rPr>
              <w:t xml:space="preserve"> Statybinės atliekos Lietuvos Respublikos atliekų tvarkymo įstatymo ir kitų teisės aktų nustatyta tvarka bus perduodamos atliekų tvarkytojams, turintiems teisę tvarkyti tokias atliekas (</w:t>
            </w:r>
            <w:r>
              <w:rPr>
                <w:iCs/>
                <w:szCs w:val="24"/>
              </w:rPr>
              <w:t xml:space="preserve">Atliekų tvarkymo įstatymo 4 straipsnio 1 dalis, Atliekų tvarkymo taisyklių, patvirtintų </w:t>
            </w:r>
            <w:r>
              <w:rPr>
                <w:rFonts w:eastAsia="Calibri"/>
                <w:iCs/>
                <w:szCs w:val="24"/>
              </w:rPr>
              <w:t xml:space="preserve">Lietuvos Respublikos aplinkos ministro </w:t>
            </w:r>
            <w:r>
              <w:rPr>
                <w:iCs/>
                <w:szCs w:val="24"/>
              </w:rPr>
              <w:t xml:space="preserve">1999 m. liepos 14 d. </w:t>
            </w:r>
            <w:r>
              <w:rPr>
                <w:rFonts w:eastAsia="Calibri"/>
                <w:iCs/>
                <w:szCs w:val="24"/>
              </w:rPr>
              <w:t xml:space="preserve">įsakymu Nr. 217 „Dėl Atliekų tvarkymo taisyklių patvirtinimo“, </w:t>
            </w:r>
            <w:r>
              <w:rPr>
                <w:iCs/>
                <w:szCs w:val="24"/>
              </w:rPr>
              <w:t>7 ir 9 punktai)</w:t>
            </w:r>
            <w:r>
              <w:rPr>
                <w:iCs/>
                <w:szCs w:val="24"/>
                <w:lang w:eastAsia="en-GB"/>
              </w:rPr>
              <w:t>.</w:t>
            </w:r>
            <w:r>
              <w:rPr>
                <w:rFonts w:eastAsia="Calibri"/>
                <w:iCs/>
                <w:szCs w:val="24"/>
              </w:rPr>
              <w:t xml:space="preserve"> Statybinių atliekų tvarkymo </w:t>
            </w:r>
            <w:r>
              <w:rPr>
                <w:rFonts w:eastAsia="Calibri"/>
                <w:iCs/>
                <w:szCs w:val="24"/>
              </w:rPr>
              <w:lastRenderedPageBreak/>
              <w:t xml:space="preserve">taisyklių, </w:t>
            </w:r>
            <w:r>
              <w:rPr>
                <w:iCs/>
                <w:szCs w:val="24"/>
              </w:rPr>
              <w:t>patvirtintų Lietuvos Respublikos aplinkos ministro 2006 m. gruodžio 29 d. įsakymu Nr. D1-637 „Dėl Statybinių atliekų tvarkymo taisyklių patvirtinimo“, 7 punkte</w:t>
            </w:r>
            <w:r>
              <w:rPr>
                <w:rFonts w:eastAsia="Calibri"/>
                <w:iCs/>
                <w:szCs w:val="24"/>
              </w:rPr>
              <w:t xml:space="preserve"> nustatyta, kad statybvietėje turi būti išrūšiuotos ir atskirai laikinai laikomos susidarančios komunalinės atliekos, inertinės atliekos, perdirbti ir pakartotinai naudoti tinkamos atliekos, pavojingosios atliekos ir netinkamos perdirbti atliekos. Išrūšiuotos atliekos bus perduodamos įmonėms, turinčioms teisę tvarkyti tokias atliekas pagal sutartis dėl jų naudojimo ir šalinimo. Susidariusios asbesto turinčių gaminių atliekos bus šalinamos nustatyta tvarka atskiroje sekcijoje, įrengtoje prie bet kokios klasės sąvartyno pagal inertinių atliekų sąvartynų reikalavimus ir pažymėtoje įspėjamaisiais užrašais (</w:t>
            </w:r>
            <w:r>
              <w:rPr>
                <w:iCs/>
                <w:szCs w:val="24"/>
              </w:rPr>
              <w:t>Atliekų sąvartynų įrengimo, eksploatavimo, uždarymo ir priežiūros po uždarymo taisyklių, patvirtintų Lietuvos Respublikos aplinkos ministro 2000 m. spalio 18 d. įsakymu Nr. 444 „Dėl Atliekų sąvartynų įrengimo, eksploatavimo, uždarymo ir priežiūros po uždarymo taisyklių patvirtinimo“,</w:t>
            </w:r>
            <w:r>
              <w:rPr>
                <w:iCs/>
                <w:szCs w:val="24"/>
                <w:bdr w:val="none" w:sz="0" w:space="0" w:color="auto" w:frame="1"/>
                <w:lang w:eastAsia="lt-LT"/>
              </w:rPr>
              <w:t xml:space="preserve"> 43 punktas)</w:t>
            </w:r>
            <w:r>
              <w:rPr>
                <w:rFonts w:eastAsia="Calibri"/>
                <w:iCs/>
                <w:szCs w:val="24"/>
              </w:rPr>
              <w:t>. Tvarkant atliekas bus vadovaujamasi Europos Sąjungos geriausiais prieinamais gamybos būdais (GPGB), taikomais atliekų apdorojimui.</w:t>
            </w:r>
          </w:p>
          <w:p w14:paraId="35C562C3" w14:textId="77777777" w:rsidR="00485716" w:rsidRDefault="00273E27">
            <w:pPr>
              <w:jc w:val="both"/>
              <w:rPr>
                <w:rFonts w:eastAsia="Calibri"/>
                <w:bCs/>
                <w:szCs w:val="24"/>
              </w:rPr>
            </w:pPr>
            <w:r>
              <w:rPr>
                <w:szCs w:val="24"/>
              </w:rPr>
              <w:t xml:space="preserve">Pasibaigus įrangos eksploatavimo laikui, ji bus saugiai paruošta pakartotiniam naudojimui ar perdirbimui pagal parengtą atliekų tvarkymo planą, užtikrinantį maksimalų elektros ir elektroninės įrangos perdirbimą pasibaigus jų eksploatavimo laikui, kaip tai numato </w:t>
            </w:r>
            <w:r>
              <w:rPr>
                <w:szCs w:val="24"/>
                <w:shd w:val="clear" w:color="auto" w:fill="FFFFFF"/>
              </w:rPr>
              <w:t>2012 m. liepos 4 d. Europos Parlamento ir Tarybos direktyva 2012/19/ES dėl elektros ir elektroninės įrangos atliekų</w:t>
            </w:r>
            <w:r>
              <w:rPr>
                <w:szCs w:val="24"/>
              </w:rPr>
              <w:t>.</w:t>
            </w:r>
          </w:p>
        </w:tc>
        <w:tc>
          <w:tcPr>
            <w:tcW w:w="6095" w:type="dxa"/>
          </w:tcPr>
          <w:p w14:paraId="706AACA4" w14:textId="77777777" w:rsidR="00485716" w:rsidRDefault="00273E27">
            <w:pPr>
              <w:jc w:val="both"/>
              <w:rPr>
                <w:rFonts w:eastAsia="Calibri"/>
                <w:szCs w:val="24"/>
              </w:rPr>
            </w:pPr>
            <w:r>
              <w:rPr>
                <w:rFonts w:eastAsia="Calibri"/>
                <w:bCs/>
                <w:szCs w:val="24"/>
              </w:rPr>
              <w:lastRenderedPageBreak/>
              <w:t>Pareiškėjas paraiškoje turi patvirtinti, kad bus laikomasi reikalavimų dėl statybinių atliekų susidarymo ir tvarkymo,</w:t>
            </w:r>
            <w:r>
              <w:rPr>
                <w:rFonts w:eastAsia="Calibri"/>
                <w:szCs w:val="24"/>
              </w:rPr>
              <w:t xml:space="preserve"> nustatytų Statybinių atliekų tvarkymo taisyklėse, patvirtintose Lietuvos Respublikos aplinkos ministro 2006 m. gruodžio 29 d. įsakymu Nr. D1-637 „Dėl Statybinių atliekų tvarkymo taisyklių patvirtinimo“, pateikti informaciją, kaip bus utilizuota įranga pasibaigus jos eksploatacijos laikui,</w:t>
            </w:r>
            <w:r>
              <w:t xml:space="preserve"> kitą aktualią informaciją ir (ar) dokumentus.</w:t>
            </w:r>
          </w:p>
        </w:tc>
      </w:tr>
      <w:tr w:rsidR="00485716" w14:paraId="16AB916B" w14:textId="77777777">
        <w:tc>
          <w:tcPr>
            <w:tcW w:w="3261" w:type="dxa"/>
          </w:tcPr>
          <w:p w14:paraId="5FC2D27B" w14:textId="77777777" w:rsidR="00485716" w:rsidRDefault="00273E27">
            <w:pPr>
              <w:tabs>
                <w:tab w:val="left" w:pos="289"/>
              </w:tabs>
              <w:ind w:firstLine="5"/>
              <w:jc w:val="both"/>
              <w:rPr>
                <w:rFonts w:eastAsia="Calibri"/>
                <w:szCs w:val="24"/>
              </w:rPr>
            </w:pPr>
            <w:r>
              <w:rPr>
                <w:rFonts w:eastAsia="Calibri"/>
                <w:szCs w:val="24"/>
              </w:rPr>
              <w:lastRenderedPageBreak/>
              <w:t>5.</w:t>
            </w:r>
            <w:r>
              <w:rPr>
                <w:rFonts w:eastAsia="Calibri"/>
                <w:szCs w:val="24"/>
              </w:rPr>
              <w:tab/>
            </w:r>
            <w:r>
              <w:rPr>
                <w:rFonts w:eastAsia="Calibri"/>
                <w:bCs/>
                <w:szCs w:val="24"/>
              </w:rPr>
              <w:t>Oro, vandens ar žemės taršos prevencija ir kontrolė</w:t>
            </w:r>
          </w:p>
        </w:tc>
        <w:tc>
          <w:tcPr>
            <w:tcW w:w="5954" w:type="dxa"/>
          </w:tcPr>
          <w:p w14:paraId="501197D8" w14:textId="77777777" w:rsidR="00485716" w:rsidRDefault="00273E27">
            <w:pPr>
              <w:jc w:val="both"/>
            </w:pPr>
            <w:r>
              <w:t>Vertinama, kad planuojama įgyvendinti</w:t>
            </w:r>
            <w:r>
              <w:rPr>
                <w:b/>
              </w:rPr>
              <w:t xml:space="preserve"> </w:t>
            </w:r>
            <w:r>
              <w:t>veikla „</w:t>
            </w:r>
            <w:r>
              <w:rPr>
                <w:szCs w:val="18"/>
              </w:rPr>
              <w:t xml:space="preserve">Viešai prieinamos elektromobilių įkrovimo infrastruktūros įrengimas ir plėtra darnaus judumo miestuose planų </w:t>
            </w:r>
            <w:r>
              <w:rPr>
                <w:szCs w:val="18"/>
              </w:rPr>
              <w:lastRenderedPageBreak/>
              <w:t>nerengusiose savivaldybėse</w:t>
            </w:r>
            <w:r>
              <w:rPr>
                <w:szCs w:val="24"/>
              </w:rPr>
              <w:t xml:space="preserve"> (vietose, kurios nustatytos šių savivaldybių iki 2030 metų numatomų įrengti viešųjų</w:t>
            </w:r>
            <w:r>
              <w:rPr>
                <w:szCs w:val="18"/>
              </w:rPr>
              <w:t xml:space="preserve"> ir </w:t>
            </w:r>
            <w:r>
              <w:rPr>
                <w:szCs w:val="24"/>
              </w:rPr>
              <w:t>pusiau viešųjų elektromobilių įkrovimo prieigų planuose),“</w:t>
            </w:r>
            <w:r>
              <w:t xml:space="preserve"> neturi jokio numatomo poveikio šiam aplinkos tikslui arba numatomas jos poveikis yra nereikšmingas, t. y. nedaro tiesioginio ir pirminio netiesioginio poveikio per visą gyvavimo ciklą, todėl laikoma, kad investicija atitinka oro, vandens ar žemės taršos prevencijos ir kontrolės tikslą.</w:t>
            </w:r>
          </w:p>
          <w:p w14:paraId="4DFB072B" w14:textId="77777777" w:rsidR="00485716" w:rsidRDefault="00273E27">
            <w:pPr>
              <w:jc w:val="both"/>
              <w:rPr>
                <w:rFonts w:eastAsia="Calibri"/>
                <w:bCs/>
                <w:szCs w:val="24"/>
              </w:rPr>
            </w:pPr>
            <w:r>
              <w:rPr>
                <w:szCs w:val="24"/>
              </w:rPr>
              <w:t xml:space="preserve">Investicinės veiklos neturės jokio neigiamo tiesioginio ar netiesioginio poveikio šiam aplinkos tikslui, nes sukuriama infrastruktūra sudaromos sąlygos naudoti visai netaršias transporto priemones kuriomis pakeičiamos taršios transporto priemonės taip reikšmingai mažinant oro taršą. Infrastruktūra turės būti įrengta vadovaujantis nustatytais nacionaliniais reikalavimais. </w:t>
            </w:r>
            <w:r>
              <w:t>Imamasi priemonių, kuriomis mažinamas atliekant statybos ar techninės priežiūros darbus keliamas triukšmas ir susidarantis dulkių bei išmetamųjų teršalų kiekis.</w:t>
            </w:r>
          </w:p>
        </w:tc>
        <w:tc>
          <w:tcPr>
            <w:tcW w:w="6095" w:type="dxa"/>
          </w:tcPr>
          <w:p w14:paraId="324EE453" w14:textId="77777777" w:rsidR="00485716" w:rsidRDefault="00273E27">
            <w:pPr>
              <w:jc w:val="both"/>
              <w:rPr>
                <w:rFonts w:eastAsia="Calibri"/>
                <w:bCs/>
                <w:szCs w:val="24"/>
              </w:rPr>
            </w:pPr>
            <w:r>
              <w:rPr>
                <w:szCs w:val="24"/>
              </w:rPr>
              <w:lastRenderedPageBreak/>
              <w:t xml:space="preserve">JP projekto finansuojama veikla ir rezultatas – </w:t>
            </w:r>
            <w:r>
              <w:t>paslaugas teikiančios v</w:t>
            </w:r>
            <w:r>
              <w:rPr>
                <w:szCs w:val="24"/>
              </w:rPr>
              <w:t>iešai prieinamos elektromobilių</w:t>
            </w:r>
            <w:r>
              <w:t xml:space="preserve"> įkrovimo prieigos</w:t>
            </w:r>
            <w:r>
              <w:rPr>
                <w:szCs w:val="24"/>
              </w:rPr>
              <w:t xml:space="preserve"> – tiesiogiai prisideda prie </w:t>
            </w:r>
            <w:r>
              <w:t xml:space="preserve">oro, vandens ar žemės </w:t>
            </w:r>
            <w:r>
              <w:lastRenderedPageBreak/>
              <w:t>taršos prevencijos ir kontrolės tikslo,</w:t>
            </w:r>
            <w:r>
              <w:rPr>
                <w:rFonts w:eastAsia="Calibri"/>
                <w:bCs/>
                <w:szCs w:val="24"/>
              </w:rPr>
              <w:t xml:space="preserve"> todėl pagrindimo dokumentai neteikiami.</w:t>
            </w:r>
          </w:p>
          <w:p w14:paraId="179A069E" w14:textId="77777777" w:rsidR="00485716" w:rsidRDefault="00485716">
            <w:pPr>
              <w:jc w:val="both"/>
              <w:rPr>
                <w:szCs w:val="24"/>
              </w:rPr>
            </w:pPr>
          </w:p>
          <w:p w14:paraId="0AFC934C" w14:textId="77777777" w:rsidR="00485716" w:rsidRDefault="00273E27">
            <w:pPr>
              <w:tabs>
                <w:tab w:val="left" w:pos="556"/>
              </w:tabs>
              <w:jc w:val="both"/>
              <w:rPr>
                <w:rFonts w:eastAsia="Calibri"/>
                <w:szCs w:val="24"/>
              </w:rPr>
            </w:pPr>
            <w:r>
              <w:rPr>
                <w:szCs w:val="24"/>
              </w:rPr>
              <w:t xml:space="preserve">Kartu su mokėjimo prašymu vykdytojas teiks </w:t>
            </w:r>
            <w:r>
              <w:t>Apraše</w:t>
            </w:r>
            <w:r>
              <w:rPr>
                <w:szCs w:val="24"/>
              </w:rPr>
              <w:t xml:space="preserve"> / kvietime teikti paraiškas nurodytus viešosios ir pusiau viešosios elektromobilių įkrovimo infrastruktūros įrengimą įrodančius dokumentus.</w:t>
            </w:r>
          </w:p>
        </w:tc>
      </w:tr>
      <w:tr w:rsidR="00485716" w14:paraId="0A789773" w14:textId="77777777">
        <w:tc>
          <w:tcPr>
            <w:tcW w:w="3261" w:type="dxa"/>
          </w:tcPr>
          <w:p w14:paraId="4EF6824C" w14:textId="77777777" w:rsidR="00485716" w:rsidRDefault="00273E27">
            <w:pPr>
              <w:tabs>
                <w:tab w:val="left" w:pos="289"/>
              </w:tabs>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5954" w:type="dxa"/>
          </w:tcPr>
          <w:p w14:paraId="61F181F0" w14:textId="77777777" w:rsidR="00485716" w:rsidRDefault="00273E27">
            <w:pPr>
              <w:jc w:val="both"/>
              <w:rPr>
                <w:bCs/>
                <w:szCs w:val="24"/>
              </w:rPr>
            </w:pPr>
            <w:r>
              <w:rPr>
                <w:bCs/>
                <w:szCs w:val="24"/>
              </w:rPr>
              <w:t xml:space="preserve">Vertinama, kad planuojama įgyvendinti </w:t>
            </w:r>
            <w:r>
              <w:rPr>
                <w:szCs w:val="24"/>
              </w:rPr>
              <w:t xml:space="preserve">veikla </w:t>
            </w:r>
            <w:r>
              <w:t>„</w:t>
            </w:r>
            <w:r>
              <w:rPr>
                <w:szCs w:val="18"/>
              </w:rPr>
              <w:t>Viešai prieinamos elektromobilių įkrovimo infrastruktūros įrengimas ir plėtra darnaus judumo miestuose planų nerengusiose savivaldybėse</w:t>
            </w:r>
            <w:r>
              <w:rPr>
                <w:szCs w:val="24"/>
              </w:rPr>
              <w:t xml:space="preserve"> (vietose, kurios nustatytos šių savivaldybių iki 2030 metų numatomų įrengti viešųjų</w:t>
            </w:r>
            <w:r>
              <w:rPr>
                <w:szCs w:val="18"/>
              </w:rPr>
              <w:t xml:space="preserve"> ir </w:t>
            </w:r>
            <w:r>
              <w:rPr>
                <w:szCs w:val="24"/>
              </w:rPr>
              <w:t>pusiau viešųjų elektromobilių įkrovimo prieigų planuose),“</w:t>
            </w:r>
            <w:r>
              <w:t xml:space="preserve"> </w:t>
            </w:r>
            <w:r>
              <w:rPr>
                <w:bCs/>
                <w:szCs w:val="24"/>
              </w:rPr>
              <w:t>neturi jokio numatomo poveikio šiam aplinkos tikslui arba numatomas jos poveikis yra nereikšmingas, t. y. nedaro tiesioginio ir pirminio netiesioginio poveikio per visą gyvavimo ciklą, todėl laikoma, kad investicinės priemonės atitinka biologinės įvairovės ir ekosistemų apsaugos ir atkūrimo tikslą.</w:t>
            </w:r>
          </w:p>
          <w:p w14:paraId="0912B659" w14:textId="77777777" w:rsidR="00485716" w:rsidRDefault="00273E27">
            <w:pPr>
              <w:jc w:val="both"/>
              <w:rPr>
                <w:rFonts w:eastAsia="Calibri"/>
                <w:iCs/>
                <w:szCs w:val="24"/>
              </w:rPr>
            </w:pPr>
            <w:r>
              <w:rPr>
                <w:iCs/>
                <w:szCs w:val="24"/>
              </w:rPr>
              <w:t>Iki paraiškos pateikimo turi būti parengta informacija apie JP projektui taikomus aplinkosauginius reikalavimus:</w:t>
            </w:r>
          </w:p>
          <w:p w14:paraId="2DEA25DC" w14:textId="77777777" w:rsidR="00485716" w:rsidRDefault="00273E27">
            <w:pPr>
              <w:jc w:val="both"/>
              <w:rPr>
                <w:szCs w:val="24"/>
              </w:rPr>
            </w:pPr>
            <w:r>
              <w:rPr>
                <w:szCs w:val="24"/>
              </w:rPr>
              <w:lastRenderedPageBreak/>
              <w:t xml:space="preserve">1. Pagal Direktyvą 2011/92/ES bus atliktas PAV arba analizė (procedūra, pagal kurią kompetentinga institucija nustato, ar turi būti atliekamas Direktyvos 2011/92/ES II priede išvardytų projektų </w:t>
            </w:r>
            <w:r>
              <w:t>PAV</w:t>
            </w:r>
            <w:r>
              <w:rPr>
                <w:szCs w:val="24"/>
              </w:rPr>
              <w:t xml:space="preserve"> (kaip nurodyta Direktyvos 2011/92/ES 4 straipsnio 2 dalyje). Jei bus atliktas PAV, aplinkos apsaugos tikslais bus įgyvendintos reikiamos poveikio švelninimo ir kompensuojamosios priemonės.</w:t>
            </w:r>
          </w:p>
          <w:p w14:paraId="0ABB453D" w14:textId="77777777" w:rsidR="00485716" w:rsidRDefault="00273E27">
            <w:pPr>
              <w:jc w:val="both"/>
              <w:rPr>
                <w:rFonts w:eastAsia="Calibri"/>
                <w:bCs/>
                <w:szCs w:val="24"/>
              </w:rPr>
            </w:pPr>
            <w:r>
              <w:t>2. Siekiant užtikrinti, kad veiklos neturėtų reikšmingo poveikio saugomos teritorijos apsaugos tikslams, pažeidžiamos biologinės įvairovės vietovėse arba šalia jų (įskaitant „</w:t>
            </w:r>
            <w:proofErr w:type="spellStart"/>
            <w:r>
              <w:t>Natura</w:t>
            </w:r>
            <w:proofErr w:type="spellEnd"/>
            <w:r>
              <w:t xml:space="preserve"> 2000“ saugomų teritorijų tinklą, UNESCO pasaulio paveldo objektus ir pagrindines biologinės įvairovės teritorijas, taip pat kitas saugomas teritorijas) esančių vietovių ir (arba) vykdomų operacijų atveju atitinkamais </w:t>
            </w:r>
            <w:r>
              <w:rPr>
                <w:szCs w:val="24"/>
              </w:rPr>
              <w:t>atvejais bus atliktas atitinkamas vertinimas (pagal 1992 m. gegužės 21 d. Tarybos direktyvą 92/43/EEB dėl natūralių buveinių ir laukinės faunos bei floros apsaugos ir 2009 m. lapkričio 30 d. Europos Parlamento ir Tarybos direktyvą 2009/147/EB dėl laukinių paukščių apsaugos) ir, remiantis jo išvadomis, įgyvendintos būtinos poveikio švelninimo priemonės.</w:t>
            </w:r>
          </w:p>
        </w:tc>
        <w:tc>
          <w:tcPr>
            <w:tcW w:w="6095" w:type="dxa"/>
          </w:tcPr>
          <w:p w14:paraId="4D5BE03E" w14:textId="77777777" w:rsidR="00485716" w:rsidRDefault="00273E27">
            <w:pPr>
              <w:tabs>
                <w:tab w:val="left" w:pos="443"/>
              </w:tabs>
              <w:ind w:left="34"/>
              <w:jc w:val="both"/>
              <w:rPr>
                <w:szCs w:val="24"/>
              </w:rPr>
            </w:pPr>
            <w:r>
              <w:rPr>
                <w:szCs w:val="24"/>
              </w:rPr>
              <w:lastRenderedPageBreak/>
              <w:t>Projekto finansuojama veikla ir rezultatas – paslaugas teikiančios viešai prieinamos elektromobilių įkrovimo prieigos –</w:t>
            </w:r>
            <w:r>
              <w:rPr>
                <w:rFonts w:eastAsia="Calibri"/>
                <w:szCs w:val="24"/>
              </w:rPr>
              <w:t xml:space="preserve">dėl savo pobūdžio neturi jokio neigiamo tiesioginio ir netiesioginio poveikio šiam aplinkos tikslui. </w:t>
            </w:r>
            <w:r>
              <w:rPr>
                <w:szCs w:val="24"/>
              </w:rPr>
              <w:t xml:space="preserve">Projekto įgyvendinimo plane pateikiamas pagrindimas apie statomų įrenginių vietovę, kur numatyta statyti įrenginius su nuorodomis ar vietovės žemėlapio kopijomis, įrodančiomis, kad </w:t>
            </w:r>
            <w:r>
              <w:rPr>
                <w:rFonts w:eastAsia="Calibri"/>
                <w:szCs w:val="24"/>
              </w:rPr>
              <w:t>nenumatoma kurti ar modernizuoti infrastruktūros „</w:t>
            </w:r>
            <w:proofErr w:type="spellStart"/>
            <w:r>
              <w:rPr>
                <w:rFonts w:eastAsia="Calibri"/>
                <w:szCs w:val="24"/>
              </w:rPr>
              <w:t>Natura</w:t>
            </w:r>
            <w:proofErr w:type="spellEnd"/>
            <w:r>
              <w:rPr>
                <w:rFonts w:eastAsia="Calibri"/>
                <w:szCs w:val="24"/>
              </w:rPr>
              <w:t xml:space="preserve"> 2000“, UNESCO pasaulinio paveldo ar kitose saugomose teritorijose, </w:t>
            </w:r>
            <w:r>
              <w:rPr>
                <w:szCs w:val="24"/>
              </w:rPr>
              <w:t>kita aktuali informacija ir (ar) dokumentai.</w:t>
            </w:r>
          </w:p>
          <w:p w14:paraId="58B6955F" w14:textId="77777777" w:rsidR="00485716" w:rsidRDefault="00485716">
            <w:pPr>
              <w:ind w:left="30"/>
              <w:jc w:val="both"/>
              <w:rPr>
                <w:szCs w:val="24"/>
              </w:rPr>
            </w:pPr>
          </w:p>
          <w:p w14:paraId="6F8D3819" w14:textId="77777777" w:rsidR="00485716" w:rsidRDefault="00273E27">
            <w:pPr>
              <w:ind w:left="30"/>
              <w:jc w:val="both"/>
              <w:rPr>
                <w:szCs w:val="24"/>
              </w:rPr>
            </w:pPr>
            <w:r>
              <w:rPr>
                <w:szCs w:val="24"/>
              </w:rPr>
              <w:t xml:space="preserve">1. Vadovaujantis Planuojamos ūkinės veiklos poveikio aplinkai vertinimo įstatymu, iki paraiškos pateikimo </w:t>
            </w:r>
            <w:r>
              <w:rPr>
                <w:szCs w:val="24"/>
              </w:rPr>
              <w:lastRenderedPageBreak/>
              <w:t>pareiškėjas turi būti atlikęs PAV ir turi būti pateikti atsakingos institucijos galiojantys dokumentai (jeigu taikoma).</w:t>
            </w:r>
          </w:p>
          <w:p w14:paraId="17AE0814" w14:textId="77777777" w:rsidR="00485716" w:rsidRDefault="00273E27">
            <w:pPr>
              <w:ind w:left="30"/>
              <w:jc w:val="both"/>
              <w:rPr>
                <w:rFonts w:eastAsia="Calibri"/>
              </w:rPr>
            </w:pPr>
            <w:r>
              <w:rPr>
                <w:szCs w:val="24"/>
              </w:rPr>
              <w:t>2. Vadovaujantis Planų ar programų ir planuojamos ūkinės veiklos įgyvendinimo poveikio įsteigtoms ar potencialioms „</w:t>
            </w:r>
            <w:proofErr w:type="spellStart"/>
            <w:r>
              <w:rPr>
                <w:szCs w:val="24"/>
              </w:rPr>
              <w:t>Natura</w:t>
            </w:r>
            <w:proofErr w:type="spellEnd"/>
            <w:r>
              <w:rPr>
                <w:szCs w:val="24"/>
              </w:rPr>
              <w:t xml:space="preserve"> 2000“ teritorijoms reikšmingumo nustatymo tvarkos aprašo, patvirtinto Lietuvos Respublikos aplinkos ministro 2006 m. gegužės 22 d. įsakymu Nr. D1-255 „Dėl Planų ar programų ir planuojamos ūkinės veiklos įgyvendinimo poveikio įsteigtoms ar potencialioms „</w:t>
            </w:r>
            <w:proofErr w:type="spellStart"/>
            <w:r>
              <w:rPr>
                <w:szCs w:val="24"/>
              </w:rPr>
              <w:t>Natura</w:t>
            </w:r>
            <w:proofErr w:type="spellEnd"/>
            <w:r>
              <w:rPr>
                <w:szCs w:val="24"/>
              </w:rPr>
              <w:t xml:space="preserve"> 2000“ teritorijoms reikšmingumo nustatymo tvarkos aprašo patvirtinimo“, nuostatomis atliktas „</w:t>
            </w:r>
            <w:proofErr w:type="spellStart"/>
            <w:r>
              <w:rPr>
                <w:szCs w:val="24"/>
              </w:rPr>
              <w:t>Natura</w:t>
            </w:r>
            <w:proofErr w:type="spellEnd"/>
            <w:r>
              <w:rPr>
                <w:szCs w:val="24"/>
              </w:rPr>
              <w:t xml:space="preserve"> 2000“ teritorijų reikšmingumo nustatymas (jeigu taikoma).</w:t>
            </w:r>
          </w:p>
        </w:tc>
      </w:tr>
    </w:tbl>
    <w:p w14:paraId="4F56C263" w14:textId="77777777" w:rsidR="00485716" w:rsidRDefault="00273E27">
      <w:pPr>
        <w:spacing w:line="276" w:lineRule="auto"/>
        <w:jc w:val="center"/>
        <w:rPr>
          <w:rFonts w:eastAsia="Calibri"/>
          <w:szCs w:val="24"/>
        </w:rPr>
      </w:pPr>
      <w:r>
        <w:rPr>
          <w:rFonts w:eastAsia="Calibri"/>
          <w:szCs w:val="24"/>
        </w:rPr>
        <w:lastRenderedPageBreak/>
        <w:t>________________</w:t>
      </w:r>
    </w:p>
    <w:p w14:paraId="4E6C1EDD" w14:textId="77777777" w:rsidR="00485716" w:rsidRDefault="00485716">
      <w:pPr>
        <w:rPr>
          <w:sz w:val="18"/>
          <w:szCs w:val="18"/>
        </w:rPr>
      </w:pPr>
    </w:p>
    <w:p w14:paraId="24E8E864" w14:textId="77777777" w:rsidR="00485716" w:rsidRDefault="00485716">
      <w:pPr>
        <w:spacing w:line="276" w:lineRule="auto"/>
        <w:jc w:val="center"/>
        <w:rPr>
          <w:rFonts w:eastAsia="Calibri"/>
          <w:szCs w:val="24"/>
        </w:rPr>
      </w:pPr>
    </w:p>
    <w:p w14:paraId="16281195" w14:textId="77777777" w:rsidR="00485716" w:rsidRDefault="00485716">
      <w:pPr>
        <w:rPr>
          <w:sz w:val="18"/>
          <w:szCs w:val="18"/>
        </w:rPr>
      </w:pPr>
    </w:p>
    <w:p w14:paraId="1A373F06" w14:textId="77777777" w:rsidR="00485716" w:rsidRDefault="00485716">
      <w:pPr>
        <w:suppressAutoHyphens/>
        <w:ind w:left="9781"/>
        <w:jc w:val="both"/>
        <w:textAlignment w:val="baseline"/>
        <w:rPr>
          <w:szCs w:val="24"/>
        </w:rPr>
        <w:sectPr w:rsidR="00485716" w:rsidSect="00A64BD3">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pgNumType w:start="1"/>
          <w:cols w:space="1296"/>
          <w:titlePg/>
          <w:docGrid w:linePitch="360"/>
        </w:sectPr>
      </w:pPr>
    </w:p>
    <w:p w14:paraId="54797E01" w14:textId="77777777" w:rsidR="00485716" w:rsidRDefault="00485716">
      <w:pPr>
        <w:tabs>
          <w:tab w:val="center" w:pos="4819"/>
          <w:tab w:val="right" w:pos="9638"/>
        </w:tabs>
      </w:pPr>
    </w:p>
    <w:p w14:paraId="53E3C860" w14:textId="77777777" w:rsidR="00485716" w:rsidRDefault="00273E27">
      <w:pPr>
        <w:suppressAutoHyphens/>
        <w:ind w:left="9781"/>
        <w:jc w:val="both"/>
        <w:textAlignment w:val="baseline"/>
        <w:rPr>
          <w:szCs w:val="24"/>
        </w:rPr>
      </w:pPr>
      <w:r>
        <w:rPr>
          <w:szCs w:val="24"/>
        </w:rPr>
        <w:t xml:space="preserve">2022–2030 metų plėtros programos valdytojos Lietuvos Respublikos susisiekimo ministerijos susisiekimo plėtros programos pažangos priemonės </w:t>
      </w:r>
      <w:r>
        <w:rPr>
          <w:szCs w:val="24"/>
          <w:lang w:eastAsia="en-GB"/>
        </w:rPr>
        <w:t>Nr. 10-001-06-01-01 „Skatinti alternatyviųjų degalų naudojimą transporto sektoriuje“ veiklos „</w:t>
      </w:r>
      <w:r>
        <w:rPr>
          <w:szCs w:val="24"/>
        </w:rPr>
        <w:t xml:space="preserve">Viešai prieinamos elektromobilių įkrovimo infrastruktūros įrengimas ir plėtra“ </w:t>
      </w:r>
      <w:proofErr w:type="spellStart"/>
      <w:r>
        <w:rPr>
          <w:szCs w:val="24"/>
        </w:rPr>
        <w:t>poveiklės</w:t>
      </w:r>
      <w:proofErr w:type="spellEnd"/>
      <w:r>
        <w:rPr>
          <w:szCs w:val="24"/>
        </w:rPr>
        <w:t xml:space="preserve"> „Viešai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 projektų finansavimo sąlygų aprašo</w:t>
      </w:r>
    </w:p>
    <w:p w14:paraId="648AE6CF" w14:textId="77777777" w:rsidR="00485716" w:rsidRDefault="00273E27">
      <w:pPr>
        <w:suppressAutoHyphens/>
        <w:ind w:left="9781"/>
        <w:jc w:val="both"/>
        <w:textAlignment w:val="baseline"/>
        <w:rPr>
          <w:szCs w:val="24"/>
        </w:rPr>
      </w:pPr>
      <w:r>
        <w:rPr>
          <w:szCs w:val="24"/>
        </w:rPr>
        <w:t>2 priedas</w:t>
      </w:r>
    </w:p>
    <w:p w14:paraId="3FC58E88" w14:textId="77777777" w:rsidR="00485716" w:rsidRDefault="00485716">
      <w:pPr>
        <w:jc w:val="center"/>
        <w:rPr>
          <w:b/>
          <w:bCs/>
          <w:caps/>
          <w:szCs w:val="24"/>
        </w:rPr>
      </w:pPr>
    </w:p>
    <w:p w14:paraId="18F9D080" w14:textId="77777777" w:rsidR="00485716" w:rsidRDefault="00273E27">
      <w:pPr>
        <w:jc w:val="center"/>
        <w:rPr>
          <w:szCs w:val="24"/>
        </w:rPr>
      </w:pPr>
      <w:r>
        <w:rPr>
          <w:b/>
          <w:bCs/>
          <w:caps/>
          <w:szCs w:val="24"/>
        </w:rPr>
        <w:t>JUNGTINIO PROJEKTO PROJEKTŲ ATITIKTIES VALSTYBĖS PAGALBOS TAISYKLĖMS PATIKROS LAPAS</w:t>
      </w:r>
    </w:p>
    <w:p w14:paraId="42C070DA" w14:textId="77777777" w:rsidR="00485716" w:rsidRDefault="00485716">
      <w:pPr>
        <w:jc w:val="center"/>
        <w:rPr>
          <w:szCs w:val="24"/>
        </w:rPr>
      </w:pPr>
    </w:p>
    <w:tbl>
      <w:tblPr>
        <w:tblW w:w="0" w:type="auto"/>
        <w:tblLayout w:type="fixed"/>
        <w:tblLook w:val="04A0" w:firstRow="1" w:lastRow="0" w:firstColumn="1" w:lastColumn="0" w:noHBand="0" w:noVBand="1"/>
      </w:tblPr>
      <w:tblGrid>
        <w:gridCol w:w="14734"/>
      </w:tblGrid>
      <w:tr w:rsidR="00485716" w14:paraId="487967CE" w14:textId="77777777">
        <w:tc>
          <w:tcPr>
            <w:tcW w:w="14734"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BB6376E" w14:textId="77777777" w:rsidR="00485716" w:rsidRDefault="00273E27">
            <w:pPr>
              <w:jc w:val="both"/>
              <w:rPr>
                <w:szCs w:val="24"/>
              </w:rPr>
            </w:pPr>
            <w:r>
              <w:rPr>
                <w:b/>
                <w:bCs/>
                <w:szCs w:val="24"/>
              </w:rPr>
              <w:t>1. Priemonės teisinis pagrindas</w:t>
            </w:r>
          </w:p>
        </w:tc>
      </w:tr>
      <w:tr w:rsidR="00485716" w14:paraId="0DB3F9CA" w14:textId="77777777">
        <w:tc>
          <w:tcPr>
            <w:tcW w:w="14734" w:type="dxa"/>
            <w:tcBorders>
              <w:top w:val="single" w:sz="6" w:space="0" w:color="auto"/>
              <w:left w:val="single" w:sz="6" w:space="0" w:color="auto"/>
              <w:bottom w:val="single" w:sz="6" w:space="0" w:color="auto"/>
              <w:right w:val="single" w:sz="6" w:space="0" w:color="auto"/>
            </w:tcBorders>
          </w:tcPr>
          <w:p w14:paraId="74901297" w14:textId="77777777" w:rsidR="00485716" w:rsidRDefault="00485716">
            <w:pPr>
              <w:rPr>
                <w:sz w:val="6"/>
                <w:szCs w:val="6"/>
              </w:rPr>
            </w:pPr>
          </w:p>
          <w:p w14:paraId="56261301" w14:textId="77777777" w:rsidR="00485716" w:rsidRDefault="00273E27">
            <w:pPr>
              <w:shd w:val="clear" w:color="auto" w:fill="FFFFFF"/>
              <w:jc w:val="both"/>
              <w:rPr>
                <w:szCs w:val="24"/>
                <w:lang w:eastAsia="lt-LT"/>
              </w:rPr>
            </w:pPr>
            <w:r>
              <w:rPr>
                <w:szCs w:val="24"/>
                <w:lang w:eastAsia="lt-LT"/>
              </w:rPr>
              <w:t xml:space="preserve">2014 m. birželio 17 d. Komisijos reglamentas (ES) Nr. 651/2014, kuriuo tam tikrų kategorijų pagalba skelbiama suderinama su vidaus rinka taikant Sutarties 107 ir 108 straipsnius, I skyrius, III skyriaus 7 skirsnio „Pagalba aplinkos apsaugai“ 36a straipsnis „Investicinė pagalba netaršių ir </w:t>
            </w:r>
            <w:proofErr w:type="spellStart"/>
            <w:r>
              <w:rPr>
                <w:szCs w:val="24"/>
                <w:lang w:eastAsia="lt-LT"/>
              </w:rPr>
              <w:t>mažataršių</w:t>
            </w:r>
            <w:proofErr w:type="spellEnd"/>
            <w:r>
              <w:rPr>
                <w:szCs w:val="24"/>
                <w:lang w:eastAsia="lt-LT"/>
              </w:rPr>
              <w:t xml:space="preserve"> kelių transporto priemonių viešajai įkrovimo arba degalų papildymo infrastruktūrai“</w:t>
            </w:r>
          </w:p>
        </w:tc>
      </w:tr>
    </w:tbl>
    <w:p w14:paraId="4C82677D" w14:textId="77777777" w:rsidR="00485716" w:rsidRDefault="00485716">
      <w:pPr>
        <w:jc w:val="center"/>
        <w:rPr>
          <w:szCs w:val="24"/>
        </w:rPr>
      </w:pPr>
    </w:p>
    <w:tbl>
      <w:tblPr>
        <w:tblW w:w="0" w:type="auto"/>
        <w:tblLayout w:type="fixed"/>
        <w:tblLook w:val="04A0" w:firstRow="1" w:lastRow="0" w:firstColumn="1" w:lastColumn="0" w:noHBand="0" w:noVBand="1"/>
      </w:tblPr>
      <w:tblGrid>
        <w:gridCol w:w="5379"/>
        <w:gridCol w:w="9355"/>
      </w:tblGrid>
      <w:tr w:rsidR="00485716" w14:paraId="591B11E7" w14:textId="77777777">
        <w:tc>
          <w:tcPr>
            <w:tcW w:w="14734"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1C90D96" w14:textId="77777777" w:rsidR="00485716" w:rsidRDefault="00273E27">
            <w:pPr>
              <w:jc w:val="both"/>
              <w:rPr>
                <w:szCs w:val="24"/>
              </w:rPr>
            </w:pPr>
            <w:r>
              <w:rPr>
                <w:b/>
                <w:bCs/>
                <w:szCs w:val="24"/>
              </w:rPr>
              <w:t xml:space="preserve">I2. Duomenys apie paraišką / projektą </w:t>
            </w:r>
          </w:p>
        </w:tc>
      </w:tr>
      <w:tr w:rsidR="00485716" w14:paraId="785D02C7" w14:textId="77777777">
        <w:trPr>
          <w:trHeight w:val="405"/>
        </w:trPr>
        <w:tc>
          <w:tcPr>
            <w:tcW w:w="5379" w:type="dxa"/>
            <w:tcBorders>
              <w:top w:val="single" w:sz="6" w:space="0" w:color="auto"/>
              <w:left w:val="single" w:sz="6" w:space="0" w:color="auto"/>
              <w:bottom w:val="single" w:sz="6" w:space="0" w:color="auto"/>
              <w:right w:val="single" w:sz="6" w:space="0" w:color="auto"/>
            </w:tcBorders>
          </w:tcPr>
          <w:p w14:paraId="7E8A9FA9" w14:textId="77777777" w:rsidR="00485716" w:rsidRDefault="00273E27">
            <w:pPr>
              <w:jc w:val="both"/>
              <w:rPr>
                <w:szCs w:val="24"/>
              </w:rPr>
            </w:pPr>
            <w:r>
              <w:rPr>
                <w:b/>
                <w:bCs/>
                <w:szCs w:val="24"/>
              </w:rPr>
              <w:t>JP projekto paraiškos / projekto numeris</w:t>
            </w:r>
          </w:p>
        </w:tc>
        <w:tc>
          <w:tcPr>
            <w:tcW w:w="9355" w:type="dxa"/>
            <w:tcBorders>
              <w:top w:val="single" w:sz="6" w:space="0" w:color="auto"/>
              <w:left w:val="single" w:sz="6" w:space="0" w:color="auto"/>
              <w:bottom w:val="single" w:sz="6" w:space="0" w:color="auto"/>
              <w:right w:val="single" w:sz="6" w:space="0" w:color="auto"/>
            </w:tcBorders>
          </w:tcPr>
          <w:p w14:paraId="271C00F2" w14:textId="77777777" w:rsidR="00485716" w:rsidRDefault="00485716">
            <w:pPr>
              <w:jc w:val="both"/>
              <w:rPr>
                <w:szCs w:val="24"/>
              </w:rPr>
            </w:pPr>
          </w:p>
        </w:tc>
      </w:tr>
      <w:tr w:rsidR="00485716" w14:paraId="5E058F1D" w14:textId="77777777">
        <w:tc>
          <w:tcPr>
            <w:tcW w:w="5379" w:type="dxa"/>
            <w:tcBorders>
              <w:top w:val="single" w:sz="6" w:space="0" w:color="auto"/>
              <w:left w:val="single" w:sz="6" w:space="0" w:color="auto"/>
              <w:bottom w:val="single" w:sz="6" w:space="0" w:color="auto"/>
              <w:right w:val="single" w:sz="6" w:space="0" w:color="auto"/>
            </w:tcBorders>
          </w:tcPr>
          <w:p w14:paraId="23407558" w14:textId="77777777" w:rsidR="00485716" w:rsidRDefault="00273E27">
            <w:pPr>
              <w:rPr>
                <w:szCs w:val="24"/>
              </w:rPr>
            </w:pPr>
            <w:r>
              <w:rPr>
                <w:b/>
                <w:bCs/>
                <w:szCs w:val="24"/>
              </w:rPr>
              <w:t>Pareiškėjo / JP projekto vykdytojo pavadinimas</w:t>
            </w:r>
          </w:p>
        </w:tc>
        <w:tc>
          <w:tcPr>
            <w:tcW w:w="9355" w:type="dxa"/>
            <w:tcBorders>
              <w:top w:val="single" w:sz="6" w:space="0" w:color="auto"/>
              <w:left w:val="single" w:sz="6" w:space="0" w:color="auto"/>
              <w:bottom w:val="single" w:sz="6" w:space="0" w:color="auto"/>
              <w:right w:val="single" w:sz="6" w:space="0" w:color="auto"/>
            </w:tcBorders>
          </w:tcPr>
          <w:p w14:paraId="7AE27DEB" w14:textId="77777777" w:rsidR="00485716" w:rsidRDefault="00485716">
            <w:pPr>
              <w:jc w:val="both"/>
              <w:rPr>
                <w:szCs w:val="24"/>
              </w:rPr>
            </w:pPr>
          </w:p>
        </w:tc>
      </w:tr>
      <w:tr w:rsidR="00485716" w14:paraId="2AFD0B02" w14:textId="77777777">
        <w:tc>
          <w:tcPr>
            <w:tcW w:w="5379" w:type="dxa"/>
            <w:tcBorders>
              <w:top w:val="single" w:sz="6" w:space="0" w:color="auto"/>
              <w:left w:val="single" w:sz="6" w:space="0" w:color="auto"/>
              <w:bottom w:val="single" w:sz="6" w:space="0" w:color="auto"/>
              <w:right w:val="single" w:sz="6" w:space="0" w:color="auto"/>
            </w:tcBorders>
          </w:tcPr>
          <w:p w14:paraId="1650375C" w14:textId="77777777" w:rsidR="00485716" w:rsidRDefault="00273E27">
            <w:pPr>
              <w:jc w:val="both"/>
              <w:rPr>
                <w:szCs w:val="24"/>
              </w:rPr>
            </w:pPr>
            <w:r>
              <w:rPr>
                <w:b/>
                <w:bCs/>
                <w:szCs w:val="24"/>
              </w:rPr>
              <w:t>JP projekto pavadinimas</w:t>
            </w:r>
          </w:p>
        </w:tc>
        <w:tc>
          <w:tcPr>
            <w:tcW w:w="9355" w:type="dxa"/>
            <w:tcBorders>
              <w:top w:val="single" w:sz="6" w:space="0" w:color="auto"/>
              <w:left w:val="single" w:sz="6" w:space="0" w:color="auto"/>
              <w:bottom w:val="single" w:sz="6" w:space="0" w:color="auto"/>
              <w:right w:val="single" w:sz="6" w:space="0" w:color="auto"/>
            </w:tcBorders>
          </w:tcPr>
          <w:p w14:paraId="1E688683" w14:textId="77777777" w:rsidR="00485716" w:rsidRDefault="00485716">
            <w:pPr>
              <w:jc w:val="both"/>
              <w:rPr>
                <w:szCs w:val="24"/>
              </w:rPr>
            </w:pPr>
          </w:p>
        </w:tc>
      </w:tr>
    </w:tbl>
    <w:p w14:paraId="489C2724" w14:textId="77777777" w:rsidR="00485716" w:rsidRDefault="00485716">
      <w:pPr>
        <w:rPr>
          <w:szCs w:val="24"/>
        </w:rPr>
      </w:pPr>
    </w:p>
    <w:tbl>
      <w:tblPr>
        <w:tblW w:w="0" w:type="auto"/>
        <w:tblLayout w:type="fixed"/>
        <w:tblLook w:val="04A0" w:firstRow="1" w:lastRow="0" w:firstColumn="1" w:lastColumn="0" w:noHBand="0" w:noVBand="1"/>
      </w:tblPr>
      <w:tblGrid>
        <w:gridCol w:w="765"/>
        <w:gridCol w:w="4335"/>
        <w:gridCol w:w="2689"/>
        <w:gridCol w:w="945"/>
        <w:gridCol w:w="166"/>
        <w:gridCol w:w="494"/>
        <w:gridCol w:w="360"/>
        <w:gridCol w:w="4636"/>
        <w:gridCol w:w="344"/>
      </w:tblGrid>
      <w:tr w:rsidR="00485716" w14:paraId="081FC86E" w14:textId="77777777">
        <w:tc>
          <w:tcPr>
            <w:tcW w:w="14734" w:type="dxa"/>
            <w:gridSpan w:val="9"/>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9965AA2" w14:textId="77777777" w:rsidR="00485716" w:rsidRDefault="00273E27">
            <w:pPr>
              <w:jc w:val="both"/>
              <w:rPr>
                <w:szCs w:val="24"/>
              </w:rPr>
            </w:pPr>
            <w:r>
              <w:rPr>
                <w:b/>
                <w:bCs/>
                <w:szCs w:val="24"/>
              </w:rPr>
              <w:t xml:space="preserve">3. JP projekto patikra dėl atitikties </w:t>
            </w:r>
            <w:r>
              <w:rPr>
                <w:rFonts w:eastAsia="Calibri"/>
                <w:b/>
                <w:szCs w:val="24"/>
                <w:lang w:eastAsia="lt-LT"/>
              </w:rPr>
              <w:t>Bendrojo bendrosios išimties reglamento</w:t>
            </w:r>
            <w:r>
              <w:rPr>
                <w:b/>
                <w:bCs/>
                <w:szCs w:val="24"/>
              </w:rPr>
              <w:t xml:space="preserve"> I skyriaus bendriesiems ir Reglamento III skyriaus 7 skirsnio „Pagalba aplinkos apsaugai“ 36a straipsnio „Investicinė pagalba netaršių ir </w:t>
            </w:r>
            <w:proofErr w:type="spellStart"/>
            <w:r>
              <w:rPr>
                <w:b/>
                <w:bCs/>
                <w:szCs w:val="24"/>
              </w:rPr>
              <w:t>mažataršių</w:t>
            </w:r>
            <w:proofErr w:type="spellEnd"/>
            <w:r>
              <w:rPr>
                <w:b/>
                <w:bCs/>
                <w:szCs w:val="24"/>
              </w:rPr>
              <w:t xml:space="preserve"> kelių transporto priemonių viešajai įkrovimo arba degalų papildymo infrastruktūrai“ reikalavimams</w:t>
            </w:r>
          </w:p>
        </w:tc>
      </w:tr>
      <w:tr w:rsidR="00485716" w14:paraId="282030B0" w14:textId="77777777">
        <w:tc>
          <w:tcPr>
            <w:tcW w:w="765" w:type="dxa"/>
            <w:tcBorders>
              <w:top w:val="single" w:sz="6" w:space="0" w:color="auto"/>
              <w:left w:val="single" w:sz="6" w:space="0" w:color="auto"/>
              <w:bottom w:val="single" w:sz="6" w:space="0" w:color="auto"/>
              <w:right w:val="single" w:sz="6" w:space="0" w:color="auto"/>
            </w:tcBorders>
          </w:tcPr>
          <w:p w14:paraId="4658D3B1" w14:textId="77777777" w:rsidR="00485716" w:rsidRDefault="00273E27">
            <w:pPr>
              <w:ind w:right="-465"/>
              <w:rPr>
                <w:szCs w:val="24"/>
              </w:rPr>
            </w:pPr>
            <w:r>
              <w:rPr>
                <w:b/>
                <w:bCs/>
                <w:szCs w:val="24"/>
              </w:rPr>
              <w:lastRenderedPageBreak/>
              <w:t xml:space="preserve">Nr. </w:t>
            </w:r>
          </w:p>
        </w:tc>
        <w:tc>
          <w:tcPr>
            <w:tcW w:w="7024" w:type="dxa"/>
            <w:gridSpan w:val="2"/>
            <w:tcBorders>
              <w:top w:val="single" w:sz="6" w:space="0" w:color="auto"/>
              <w:left w:val="single" w:sz="6" w:space="0" w:color="auto"/>
              <w:bottom w:val="single" w:sz="6" w:space="0" w:color="auto"/>
              <w:right w:val="single" w:sz="6" w:space="0" w:color="auto"/>
            </w:tcBorders>
          </w:tcPr>
          <w:p w14:paraId="58BDFBD3" w14:textId="77777777" w:rsidR="00485716" w:rsidRDefault="00273E27">
            <w:pPr>
              <w:jc w:val="both"/>
              <w:rPr>
                <w:szCs w:val="24"/>
              </w:rPr>
            </w:pPr>
            <w:r>
              <w:rPr>
                <w:b/>
                <w:bCs/>
                <w:szCs w:val="24"/>
              </w:rPr>
              <w:t xml:space="preserve">Klausimai </w:t>
            </w:r>
          </w:p>
        </w:tc>
        <w:tc>
          <w:tcPr>
            <w:tcW w:w="1605" w:type="dxa"/>
            <w:gridSpan w:val="3"/>
            <w:tcBorders>
              <w:top w:val="single" w:sz="6" w:space="0" w:color="auto"/>
              <w:left w:val="single" w:sz="6" w:space="0" w:color="auto"/>
              <w:bottom w:val="single" w:sz="6" w:space="0" w:color="auto"/>
              <w:right w:val="single" w:sz="6" w:space="0" w:color="auto"/>
            </w:tcBorders>
          </w:tcPr>
          <w:p w14:paraId="0B72B548" w14:textId="77777777" w:rsidR="00485716" w:rsidRDefault="00273E27">
            <w:pPr>
              <w:jc w:val="both"/>
              <w:rPr>
                <w:szCs w:val="24"/>
              </w:rPr>
            </w:pPr>
            <w:r>
              <w:rPr>
                <w:b/>
                <w:bCs/>
                <w:szCs w:val="24"/>
              </w:rPr>
              <w:t xml:space="preserve">Rezultatas </w:t>
            </w:r>
          </w:p>
        </w:tc>
        <w:tc>
          <w:tcPr>
            <w:tcW w:w="5340" w:type="dxa"/>
            <w:gridSpan w:val="3"/>
            <w:tcBorders>
              <w:top w:val="single" w:sz="6" w:space="0" w:color="auto"/>
              <w:left w:val="single" w:sz="6" w:space="0" w:color="auto"/>
              <w:bottom w:val="single" w:sz="6" w:space="0" w:color="auto"/>
              <w:right w:val="single" w:sz="6" w:space="0" w:color="auto"/>
            </w:tcBorders>
          </w:tcPr>
          <w:p w14:paraId="4AA146A6" w14:textId="77777777" w:rsidR="00485716" w:rsidRDefault="00273E27">
            <w:pPr>
              <w:jc w:val="both"/>
              <w:rPr>
                <w:szCs w:val="24"/>
              </w:rPr>
            </w:pPr>
            <w:r>
              <w:rPr>
                <w:b/>
                <w:bCs/>
                <w:szCs w:val="24"/>
              </w:rPr>
              <w:t>Pastabos</w:t>
            </w:r>
          </w:p>
        </w:tc>
      </w:tr>
      <w:tr w:rsidR="00485716" w14:paraId="5CAD8A75" w14:textId="77777777">
        <w:trPr>
          <w:trHeight w:val="495"/>
        </w:trPr>
        <w:tc>
          <w:tcPr>
            <w:tcW w:w="14734" w:type="dxa"/>
            <w:gridSpan w:val="9"/>
            <w:tcBorders>
              <w:top w:val="single" w:sz="6" w:space="0" w:color="auto"/>
              <w:left w:val="single" w:sz="6" w:space="0" w:color="auto"/>
              <w:bottom w:val="single" w:sz="6" w:space="0" w:color="auto"/>
              <w:right w:val="single" w:sz="6" w:space="0" w:color="auto"/>
            </w:tcBorders>
          </w:tcPr>
          <w:p w14:paraId="75F8965E" w14:textId="77777777" w:rsidR="00485716" w:rsidRDefault="00273E27">
            <w:pPr>
              <w:jc w:val="both"/>
              <w:rPr>
                <w:szCs w:val="24"/>
              </w:rPr>
            </w:pPr>
            <w:r>
              <w:rPr>
                <w:b/>
                <w:bCs/>
                <w:szCs w:val="24"/>
              </w:rPr>
              <w:t>Bendrieji reikalavimai</w:t>
            </w:r>
          </w:p>
        </w:tc>
      </w:tr>
      <w:tr w:rsidR="00485716" w14:paraId="5DC4D38D" w14:textId="77777777">
        <w:tc>
          <w:tcPr>
            <w:tcW w:w="765" w:type="dxa"/>
            <w:vMerge w:val="restart"/>
            <w:tcBorders>
              <w:top w:val="single" w:sz="6" w:space="0" w:color="auto"/>
              <w:left w:val="single" w:sz="6" w:space="0" w:color="auto"/>
              <w:right w:val="single" w:sz="6" w:space="0" w:color="auto"/>
            </w:tcBorders>
          </w:tcPr>
          <w:p w14:paraId="08A5A384" w14:textId="77777777" w:rsidR="00485716" w:rsidRDefault="00273E27">
            <w:pPr>
              <w:ind w:right="-465"/>
              <w:jc w:val="both"/>
              <w:rPr>
                <w:szCs w:val="24"/>
              </w:rPr>
            </w:pPr>
            <w:r>
              <w:rPr>
                <w:szCs w:val="24"/>
              </w:rPr>
              <w:t>3.1.</w:t>
            </w:r>
          </w:p>
        </w:tc>
        <w:tc>
          <w:tcPr>
            <w:tcW w:w="7024" w:type="dxa"/>
            <w:gridSpan w:val="2"/>
            <w:tcBorders>
              <w:top w:val="single" w:sz="6" w:space="0" w:color="auto"/>
              <w:left w:val="single" w:sz="6" w:space="0" w:color="auto"/>
              <w:bottom w:val="single" w:sz="6" w:space="0" w:color="auto"/>
              <w:right w:val="single" w:sz="6" w:space="0" w:color="auto"/>
            </w:tcBorders>
          </w:tcPr>
          <w:p w14:paraId="557EBFD7" w14:textId="77777777" w:rsidR="00485716" w:rsidRDefault="00273E27">
            <w:pPr>
              <w:jc w:val="both"/>
              <w:rPr>
                <w:szCs w:val="24"/>
              </w:rPr>
            </w:pPr>
            <w:r>
              <w:rPr>
                <w:rFonts w:eastAsia="Calibri"/>
                <w:bCs/>
                <w:szCs w:val="24"/>
                <w:lang w:eastAsia="lt-LT"/>
              </w:rPr>
              <w:t>Kokiai kategorijai priskiriamas pareiškėjas? (pasirinkti tik vieną variantą)</w:t>
            </w:r>
          </w:p>
        </w:tc>
        <w:tc>
          <w:tcPr>
            <w:tcW w:w="945" w:type="dxa"/>
            <w:tcBorders>
              <w:top w:val="single" w:sz="6" w:space="0" w:color="auto"/>
              <w:left w:val="single" w:sz="6" w:space="0" w:color="auto"/>
              <w:bottom w:val="single" w:sz="6" w:space="0" w:color="auto"/>
              <w:right w:val="single" w:sz="6" w:space="0" w:color="auto"/>
            </w:tcBorders>
          </w:tcPr>
          <w:p w14:paraId="7A92807B" w14:textId="77777777" w:rsidR="00485716" w:rsidRDefault="00273E27">
            <w:pPr>
              <w:spacing w:line="276" w:lineRule="auto"/>
              <w:rPr>
                <w:szCs w:val="24"/>
              </w:rPr>
            </w:pPr>
            <w:r>
              <w:rPr>
                <w:szCs w:val="24"/>
              </w:rPr>
              <w:t>□ Taip</w:t>
            </w:r>
          </w:p>
        </w:tc>
        <w:tc>
          <w:tcPr>
            <w:tcW w:w="1020" w:type="dxa"/>
            <w:gridSpan w:val="3"/>
            <w:tcBorders>
              <w:top w:val="single" w:sz="6" w:space="0" w:color="auto"/>
              <w:left w:val="single" w:sz="6" w:space="0" w:color="auto"/>
              <w:bottom w:val="single" w:sz="6" w:space="0" w:color="auto"/>
              <w:right w:val="single" w:sz="6" w:space="0" w:color="auto"/>
            </w:tcBorders>
          </w:tcPr>
          <w:p w14:paraId="6157E5AB" w14:textId="77777777" w:rsidR="00485716" w:rsidRDefault="00273E27">
            <w:pPr>
              <w:jc w:val="both"/>
              <w:rPr>
                <w:szCs w:val="24"/>
              </w:rPr>
            </w:pPr>
            <w:r>
              <w:rPr>
                <w:szCs w:val="24"/>
              </w:rPr>
              <w:t xml:space="preserve">□ Ne </w:t>
            </w:r>
          </w:p>
        </w:tc>
        <w:tc>
          <w:tcPr>
            <w:tcW w:w="4980" w:type="dxa"/>
            <w:gridSpan w:val="2"/>
            <w:tcBorders>
              <w:top w:val="single" w:sz="6" w:space="0" w:color="auto"/>
              <w:left w:val="single" w:sz="6" w:space="0" w:color="auto"/>
              <w:bottom w:val="single" w:sz="6" w:space="0" w:color="auto"/>
              <w:right w:val="single" w:sz="6" w:space="0" w:color="auto"/>
            </w:tcBorders>
          </w:tcPr>
          <w:p w14:paraId="0412BC0C" w14:textId="77777777" w:rsidR="00485716" w:rsidRDefault="00485716">
            <w:pPr>
              <w:jc w:val="both"/>
              <w:rPr>
                <w:szCs w:val="24"/>
              </w:rPr>
            </w:pPr>
          </w:p>
        </w:tc>
      </w:tr>
      <w:tr w:rsidR="00485716" w14:paraId="2D302021" w14:textId="77777777">
        <w:tc>
          <w:tcPr>
            <w:tcW w:w="765" w:type="dxa"/>
            <w:vMerge/>
            <w:tcBorders>
              <w:left w:val="single" w:sz="6" w:space="0" w:color="auto"/>
              <w:right w:val="single" w:sz="6" w:space="0" w:color="auto"/>
            </w:tcBorders>
          </w:tcPr>
          <w:p w14:paraId="62F4B517" w14:textId="77777777" w:rsidR="00485716" w:rsidRDefault="00485716">
            <w:pPr>
              <w:ind w:right="-465"/>
              <w:jc w:val="both"/>
              <w:rPr>
                <w:szCs w:val="24"/>
              </w:rPr>
            </w:pPr>
          </w:p>
        </w:tc>
        <w:tc>
          <w:tcPr>
            <w:tcW w:w="7024" w:type="dxa"/>
            <w:gridSpan w:val="2"/>
            <w:tcBorders>
              <w:top w:val="single" w:sz="6" w:space="0" w:color="auto"/>
              <w:left w:val="single" w:sz="6" w:space="0" w:color="auto"/>
              <w:bottom w:val="single" w:sz="6" w:space="0" w:color="auto"/>
              <w:right w:val="single" w:sz="6" w:space="0" w:color="auto"/>
            </w:tcBorders>
          </w:tcPr>
          <w:p w14:paraId="60D430A2" w14:textId="77777777" w:rsidR="00485716" w:rsidRDefault="00273E27">
            <w:pPr>
              <w:jc w:val="both"/>
              <w:rPr>
                <w:szCs w:val="24"/>
              </w:rPr>
            </w:pPr>
            <w:r>
              <w:rPr>
                <w:rFonts w:eastAsia="Calibri"/>
                <w:szCs w:val="24"/>
                <w:lang w:eastAsia="lt-LT"/>
              </w:rPr>
              <w:t>- labai maža įmonė</w:t>
            </w:r>
          </w:p>
        </w:tc>
        <w:tc>
          <w:tcPr>
            <w:tcW w:w="945" w:type="dxa"/>
            <w:tcBorders>
              <w:top w:val="single" w:sz="6" w:space="0" w:color="auto"/>
              <w:left w:val="single" w:sz="6" w:space="0" w:color="auto"/>
              <w:bottom w:val="single" w:sz="6" w:space="0" w:color="auto"/>
              <w:right w:val="single" w:sz="6" w:space="0" w:color="auto"/>
            </w:tcBorders>
          </w:tcPr>
          <w:p w14:paraId="475AABAA" w14:textId="77777777" w:rsidR="00485716" w:rsidRDefault="00273E27">
            <w:pPr>
              <w:spacing w:line="276" w:lineRule="auto"/>
              <w:rPr>
                <w:szCs w:val="24"/>
              </w:rPr>
            </w:pPr>
            <w:r>
              <w:rPr>
                <w:szCs w:val="24"/>
              </w:rPr>
              <w:t>□ Taip</w:t>
            </w:r>
          </w:p>
        </w:tc>
        <w:tc>
          <w:tcPr>
            <w:tcW w:w="1020" w:type="dxa"/>
            <w:gridSpan w:val="3"/>
            <w:tcBorders>
              <w:top w:val="single" w:sz="6" w:space="0" w:color="auto"/>
              <w:left w:val="single" w:sz="6" w:space="0" w:color="auto"/>
              <w:bottom w:val="single" w:sz="6" w:space="0" w:color="auto"/>
              <w:right w:val="single" w:sz="6" w:space="0" w:color="auto"/>
            </w:tcBorders>
          </w:tcPr>
          <w:p w14:paraId="7C787969" w14:textId="77777777" w:rsidR="00485716" w:rsidRDefault="00273E27">
            <w:pPr>
              <w:jc w:val="both"/>
              <w:rPr>
                <w:szCs w:val="24"/>
              </w:rPr>
            </w:pPr>
            <w:r>
              <w:rPr>
                <w:szCs w:val="24"/>
              </w:rPr>
              <w:t xml:space="preserve">□ Ne </w:t>
            </w:r>
          </w:p>
        </w:tc>
        <w:tc>
          <w:tcPr>
            <w:tcW w:w="4980" w:type="dxa"/>
            <w:gridSpan w:val="2"/>
            <w:tcBorders>
              <w:top w:val="single" w:sz="6" w:space="0" w:color="auto"/>
              <w:left w:val="single" w:sz="6" w:space="0" w:color="auto"/>
              <w:bottom w:val="single" w:sz="6" w:space="0" w:color="auto"/>
              <w:right w:val="single" w:sz="6" w:space="0" w:color="auto"/>
            </w:tcBorders>
          </w:tcPr>
          <w:p w14:paraId="34D6BD7C" w14:textId="77777777" w:rsidR="00485716" w:rsidRDefault="00485716">
            <w:pPr>
              <w:jc w:val="both"/>
              <w:rPr>
                <w:szCs w:val="24"/>
              </w:rPr>
            </w:pPr>
          </w:p>
        </w:tc>
      </w:tr>
      <w:tr w:rsidR="00485716" w14:paraId="7A1BDDC9" w14:textId="77777777">
        <w:tc>
          <w:tcPr>
            <w:tcW w:w="765" w:type="dxa"/>
            <w:vMerge/>
            <w:tcBorders>
              <w:left w:val="single" w:sz="6" w:space="0" w:color="auto"/>
              <w:right w:val="single" w:sz="6" w:space="0" w:color="auto"/>
            </w:tcBorders>
          </w:tcPr>
          <w:p w14:paraId="2A4D62EA" w14:textId="77777777" w:rsidR="00485716" w:rsidRDefault="00485716">
            <w:pPr>
              <w:ind w:right="-465"/>
              <w:jc w:val="both"/>
              <w:rPr>
                <w:szCs w:val="24"/>
              </w:rPr>
            </w:pPr>
          </w:p>
        </w:tc>
        <w:tc>
          <w:tcPr>
            <w:tcW w:w="7024" w:type="dxa"/>
            <w:gridSpan w:val="2"/>
            <w:tcBorders>
              <w:top w:val="single" w:sz="6" w:space="0" w:color="auto"/>
              <w:left w:val="single" w:sz="6" w:space="0" w:color="auto"/>
              <w:bottom w:val="single" w:sz="6" w:space="0" w:color="auto"/>
              <w:right w:val="single" w:sz="6" w:space="0" w:color="auto"/>
            </w:tcBorders>
          </w:tcPr>
          <w:p w14:paraId="75D86513" w14:textId="77777777" w:rsidR="00485716" w:rsidRDefault="00485716">
            <w:pPr>
              <w:rPr>
                <w:sz w:val="8"/>
                <w:szCs w:val="8"/>
              </w:rPr>
            </w:pPr>
          </w:p>
          <w:p w14:paraId="09AA8157" w14:textId="77777777" w:rsidR="00485716" w:rsidRDefault="00273E27">
            <w:pPr>
              <w:jc w:val="both"/>
              <w:rPr>
                <w:szCs w:val="24"/>
              </w:rPr>
            </w:pPr>
            <w:r>
              <w:rPr>
                <w:rFonts w:eastAsia="Calibri"/>
                <w:szCs w:val="24"/>
                <w:lang w:eastAsia="lt-LT"/>
              </w:rPr>
              <w:t xml:space="preserve">- maža įmonė </w:t>
            </w:r>
          </w:p>
        </w:tc>
        <w:tc>
          <w:tcPr>
            <w:tcW w:w="945" w:type="dxa"/>
            <w:tcBorders>
              <w:top w:val="single" w:sz="6" w:space="0" w:color="auto"/>
              <w:left w:val="single" w:sz="6" w:space="0" w:color="auto"/>
              <w:bottom w:val="single" w:sz="6" w:space="0" w:color="auto"/>
              <w:right w:val="single" w:sz="6" w:space="0" w:color="auto"/>
            </w:tcBorders>
          </w:tcPr>
          <w:p w14:paraId="6D30AEC2" w14:textId="77777777" w:rsidR="00485716" w:rsidRDefault="00273E27">
            <w:pPr>
              <w:spacing w:line="276" w:lineRule="auto"/>
              <w:rPr>
                <w:szCs w:val="24"/>
              </w:rPr>
            </w:pPr>
            <w:r>
              <w:rPr>
                <w:szCs w:val="24"/>
              </w:rPr>
              <w:t>□ Taip</w:t>
            </w:r>
          </w:p>
        </w:tc>
        <w:tc>
          <w:tcPr>
            <w:tcW w:w="1020" w:type="dxa"/>
            <w:gridSpan w:val="3"/>
            <w:tcBorders>
              <w:top w:val="single" w:sz="6" w:space="0" w:color="auto"/>
              <w:left w:val="single" w:sz="6" w:space="0" w:color="auto"/>
              <w:bottom w:val="single" w:sz="6" w:space="0" w:color="auto"/>
              <w:right w:val="single" w:sz="6" w:space="0" w:color="auto"/>
            </w:tcBorders>
          </w:tcPr>
          <w:p w14:paraId="7FAD459A" w14:textId="77777777" w:rsidR="00485716" w:rsidRDefault="00273E27">
            <w:pPr>
              <w:jc w:val="both"/>
              <w:rPr>
                <w:szCs w:val="24"/>
              </w:rPr>
            </w:pPr>
            <w:r>
              <w:rPr>
                <w:szCs w:val="24"/>
              </w:rPr>
              <w:t xml:space="preserve">□ Ne </w:t>
            </w:r>
          </w:p>
        </w:tc>
        <w:tc>
          <w:tcPr>
            <w:tcW w:w="4980" w:type="dxa"/>
            <w:gridSpan w:val="2"/>
            <w:tcBorders>
              <w:top w:val="single" w:sz="6" w:space="0" w:color="auto"/>
              <w:left w:val="single" w:sz="6" w:space="0" w:color="auto"/>
              <w:bottom w:val="single" w:sz="6" w:space="0" w:color="auto"/>
              <w:right w:val="single" w:sz="6" w:space="0" w:color="auto"/>
            </w:tcBorders>
          </w:tcPr>
          <w:p w14:paraId="35543256" w14:textId="77777777" w:rsidR="00485716" w:rsidRDefault="00485716">
            <w:pPr>
              <w:jc w:val="both"/>
              <w:rPr>
                <w:szCs w:val="24"/>
              </w:rPr>
            </w:pPr>
          </w:p>
        </w:tc>
      </w:tr>
      <w:tr w:rsidR="00485716" w14:paraId="173E607B" w14:textId="77777777">
        <w:tc>
          <w:tcPr>
            <w:tcW w:w="765" w:type="dxa"/>
            <w:vMerge/>
            <w:tcBorders>
              <w:left w:val="single" w:sz="6" w:space="0" w:color="auto"/>
              <w:right w:val="single" w:sz="6" w:space="0" w:color="auto"/>
            </w:tcBorders>
          </w:tcPr>
          <w:p w14:paraId="1A187257" w14:textId="77777777" w:rsidR="00485716" w:rsidRDefault="00485716">
            <w:pPr>
              <w:ind w:right="-465"/>
              <w:jc w:val="both"/>
              <w:rPr>
                <w:szCs w:val="24"/>
              </w:rPr>
            </w:pPr>
          </w:p>
        </w:tc>
        <w:tc>
          <w:tcPr>
            <w:tcW w:w="7024" w:type="dxa"/>
            <w:gridSpan w:val="2"/>
            <w:tcBorders>
              <w:top w:val="single" w:sz="6" w:space="0" w:color="auto"/>
              <w:left w:val="single" w:sz="6" w:space="0" w:color="auto"/>
              <w:bottom w:val="single" w:sz="6" w:space="0" w:color="auto"/>
              <w:right w:val="single" w:sz="6" w:space="0" w:color="auto"/>
            </w:tcBorders>
          </w:tcPr>
          <w:p w14:paraId="36E73312" w14:textId="77777777" w:rsidR="00485716" w:rsidRDefault="00485716">
            <w:pPr>
              <w:rPr>
                <w:sz w:val="8"/>
                <w:szCs w:val="8"/>
              </w:rPr>
            </w:pPr>
          </w:p>
          <w:p w14:paraId="5E9F0D9B" w14:textId="77777777" w:rsidR="00485716" w:rsidRDefault="00273E27">
            <w:pPr>
              <w:jc w:val="both"/>
              <w:rPr>
                <w:szCs w:val="24"/>
              </w:rPr>
            </w:pPr>
            <w:r>
              <w:rPr>
                <w:rFonts w:eastAsia="Calibri"/>
                <w:szCs w:val="24"/>
                <w:lang w:eastAsia="lt-LT"/>
              </w:rPr>
              <w:t>-</w:t>
            </w:r>
            <w:r>
              <w:rPr>
                <w:rFonts w:eastAsia="Calibri"/>
                <w:lang w:eastAsia="lt-LT"/>
              </w:rPr>
              <w:t xml:space="preserve"> vidutinė įmonė</w:t>
            </w:r>
          </w:p>
        </w:tc>
        <w:tc>
          <w:tcPr>
            <w:tcW w:w="945" w:type="dxa"/>
            <w:tcBorders>
              <w:top w:val="single" w:sz="6" w:space="0" w:color="auto"/>
              <w:left w:val="single" w:sz="6" w:space="0" w:color="auto"/>
              <w:bottom w:val="single" w:sz="6" w:space="0" w:color="auto"/>
              <w:right w:val="single" w:sz="6" w:space="0" w:color="auto"/>
            </w:tcBorders>
          </w:tcPr>
          <w:p w14:paraId="16D9EBDF" w14:textId="77777777" w:rsidR="00485716" w:rsidRDefault="00273E27">
            <w:pPr>
              <w:spacing w:line="276" w:lineRule="auto"/>
              <w:rPr>
                <w:szCs w:val="24"/>
              </w:rPr>
            </w:pPr>
            <w:r>
              <w:rPr>
                <w:szCs w:val="24"/>
              </w:rPr>
              <w:t>□ Taip</w:t>
            </w:r>
          </w:p>
        </w:tc>
        <w:tc>
          <w:tcPr>
            <w:tcW w:w="1020" w:type="dxa"/>
            <w:gridSpan w:val="3"/>
            <w:tcBorders>
              <w:top w:val="single" w:sz="6" w:space="0" w:color="auto"/>
              <w:left w:val="single" w:sz="6" w:space="0" w:color="auto"/>
              <w:bottom w:val="single" w:sz="6" w:space="0" w:color="auto"/>
              <w:right w:val="single" w:sz="6" w:space="0" w:color="auto"/>
            </w:tcBorders>
          </w:tcPr>
          <w:p w14:paraId="413A8774" w14:textId="77777777" w:rsidR="00485716" w:rsidRDefault="00273E27">
            <w:pPr>
              <w:jc w:val="both"/>
              <w:rPr>
                <w:szCs w:val="24"/>
              </w:rPr>
            </w:pPr>
            <w:r>
              <w:rPr>
                <w:szCs w:val="24"/>
              </w:rPr>
              <w:t xml:space="preserve">□ Ne </w:t>
            </w:r>
          </w:p>
        </w:tc>
        <w:tc>
          <w:tcPr>
            <w:tcW w:w="4980" w:type="dxa"/>
            <w:gridSpan w:val="2"/>
            <w:tcBorders>
              <w:top w:val="single" w:sz="6" w:space="0" w:color="auto"/>
              <w:left w:val="single" w:sz="6" w:space="0" w:color="auto"/>
              <w:bottom w:val="single" w:sz="6" w:space="0" w:color="auto"/>
              <w:right w:val="single" w:sz="6" w:space="0" w:color="auto"/>
            </w:tcBorders>
          </w:tcPr>
          <w:p w14:paraId="7D6B44E1" w14:textId="77777777" w:rsidR="00485716" w:rsidRDefault="00485716">
            <w:pPr>
              <w:jc w:val="both"/>
              <w:rPr>
                <w:szCs w:val="24"/>
              </w:rPr>
            </w:pPr>
          </w:p>
        </w:tc>
      </w:tr>
      <w:tr w:rsidR="00485716" w14:paraId="4BF1DD2D" w14:textId="77777777">
        <w:tc>
          <w:tcPr>
            <w:tcW w:w="765" w:type="dxa"/>
            <w:vMerge/>
            <w:tcBorders>
              <w:left w:val="single" w:sz="6" w:space="0" w:color="auto"/>
              <w:bottom w:val="single" w:sz="6" w:space="0" w:color="auto"/>
              <w:right w:val="single" w:sz="6" w:space="0" w:color="auto"/>
            </w:tcBorders>
          </w:tcPr>
          <w:p w14:paraId="4F080229" w14:textId="77777777" w:rsidR="00485716" w:rsidRDefault="00485716">
            <w:pPr>
              <w:ind w:right="-465"/>
              <w:jc w:val="both"/>
              <w:rPr>
                <w:szCs w:val="24"/>
              </w:rPr>
            </w:pPr>
          </w:p>
        </w:tc>
        <w:tc>
          <w:tcPr>
            <w:tcW w:w="7024" w:type="dxa"/>
            <w:gridSpan w:val="2"/>
            <w:tcBorders>
              <w:top w:val="single" w:sz="6" w:space="0" w:color="auto"/>
              <w:left w:val="single" w:sz="6" w:space="0" w:color="auto"/>
              <w:bottom w:val="single" w:sz="6" w:space="0" w:color="auto"/>
              <w:right w:val="single" w:sz="6" w:space="0" w:color="auto"/>
            </w:tcBorders>
          </w:tcPr>
          <w:p w14:paraId="0147B092" w14:textId="77777777" w:rsidR="00485716" w:rsidRDefault="00273E27">
            <w:pPr>
              <w:jc w:val="both"/>
              <w:rPr>
                <w:szCs w:val="24"/>
              </w:rPr>
            </w:pPr>
            <w:r>
              <w:rPr>
                <w:rFonts w:eastAsia="Calibri"/>
                <w:szCs w:val="24"/>
                <w:lang w:eastAsia="lt-LT"/>
              </w:rPr>
              <w:t>-</w:t>
            </w:r>
            <w:r>
              <w:rPr>
                <w:rFonts w:eastAsia="Calibri"/>
                <w:lang w:eastAsia="lt-LT"/>
              </w:rPr>
              <w:t xml:space="preserve"> didelė įmonė</w:t>
            </w:r>
          </w:p>
        </w:tc>
        <w:tc>
          <w:tcPr>
            <w:tcW w:w="945" w:type="dxa"/>
            <w:tcBorders>
              <w:top w:val="single" w:sz="6" w:space="0" w:color="auto"/>
              <w:left w:val="single" w:sz="6" w:space="0" w:color="auto"/>
              <w:bottom w:val="single" w:sz="6" w:space="0" w:color="auto"/>
              <w:right w:val="single" w:sz="6" w:space="0" w:color="auto"/>
            </w:tcBorders>
          </w:tcPr>
          <w:p w14:paraId="364D8411" w14:textId="77777777" w:rsidR="00485716" w:rsidRDefault="00273E27">
            <w:pPr>
              <w:spacing w:line="276" w:lineRule="auto"/>
              <w:rPr>
                <w:szCs w:val="24"/>
              </w:rPr>
            </w:pPr>
            <w:r>
              <w:rPr>
                <w:szCs w:val="24"/>
              </w:rPr>
              <w:t>□ Taip</w:t>
            </w:r>
          </w:p>
        </w:tc>
        <w:tc>
          <w:tcPr>
            <w:tcW w:w="1020" w:type="dxa"/>
            <w:gridSpan w:val="3"/>
            <w:tcBorders>
              <w:top w:val="single" w:sz="6" w:space="0" w:color="auto"/>
              <w:left w:val="single" w:sz="6" w:space="0" w:color="auto"/>
              <w:bottom w:val="single" w:sz="6" w:space="0" w:color="auto"/>
              <w:right w:val="single" w:sz="6" w:space="0" w:color="auto"/>
            </w:tcBorders>
          </w:tcPr>
          <w:p w14:paraId="56D04E67" w14:textId="77777777" w:rsidR="00485716" w:rsidRDefault="00273E27">
            <w:pPr>
              <w:jc w:val="both"/>
              <w:rPr>
                <w:szCs w:val="24"/>
              </w:rPr>
            </w:pPr>
            <w:r>
              <w:rPr>
                <w:szCs w:val="24"/>
              </w:rPr>
              <w:t>□ Ne</w:t>
            </w:r>
          </w:p>
        </w:tc>
        <w:tc>
          <w:tcPr>
            <w:tcW w:w="4980" w:type="dxa"/>
            <w:gridSpan w:val="2"/>
            <w:tcBorders>
              <w:top w:val="single" w:sz="6" w:space="0" w:color="auto"/>
              <w:left w:val="single" w:sz="6" w:space="0" w:color="auto"/>
              <w:bottom w:val="single" w:sz="6" w:space="0" w:color="auto"/>
              <w:right w:val="single" w:sz="6" w:space="0" w:color="auto"/>
            </w:tcBorders>
          </w:tcPr>
          <w:p w14:paraId="105C9CA3" w14:textId="77777777" w:rsidR="00485716" w:rsidRDefault="00485716">
            <w:pPr>
              <w:jc w:val="both"/>
              <w:rPr>
                <w:szCs w:val="24"/>
              </w:rPr>
            </w:pPr>
          </w:p>
        </w:tc>
      </w:tr>
      <w:tr w:rsidR="00485716" w14:paraId="65E93202" w14:textId="77777777">
        <w:tc>
          <w:tcPr>
            <w:tcW w:w="765" w:type="dxa"/>
            <w:tcBorders>
              <w:top w:val="single" w:sz="6" w:space="0" w:color="auto"/>
              <w:left w:val="single" w:sz="6" w:space="0" w:color="auto"/>
              <w:bottom w:val="single" w:sz="6" w:space="0" w:color="auto"/>
              <w:right w:val="single" w:sz="6" w:space="0" w:color="auto"/>
            </w:tcBorders>
          </w:tcPr>
          <w:p w14:paraId="18BED786" w14:textId="77777777" w:rsidR="00485716" w:rsidRDefault="00273E27">
            <w:pPr>
              <w:ind w:right="-465"/>
              <w:jc w:val="both"/>
              <w:rPr>
                <w:szCs w:val="24"/>
              </w:rPr>
            </w:pPr>
            <w:r>
              <w:rPr>
                <w:szCs w:val="24"/>
              </w:rPr>
              <w:t>3.2.</w:t>
            </w:r>
          </w:p>
        </w:tc>
        <w:tc>
          <w:tcPr>
            <w:tcW w:w="7024" w:type="dxa"/>
            <w:gridSpan w:val="2"/>
            <w:tcBorders>
              <w:top w:val="single" w:sz="6" w:space="0" w:color="auto"/>
              <w:left w:val="single" w:sz="6" w:space="0" w:color="auto"/>
              <w:bottom w:val="single" w:sz="6" w:space="0" w:color="auto"/>
              <w:right w:val="single" w:sz="6" w:space="0" w:color="auto"/>
            </w:tcBorders>
          </w:tcPr>
          <w:p w14:paraId="6C5EF0CA" w14:textId="77777777" w:rsidR="00485716" w:rsidRDefault="00485716">
            <w:pPr>
              <w:rPr>
                <w:sz w:val="8"/>
                <w:szCs w:val="8"/>
              </w:rPr>
            </w:pPr>
          </w:p>
          <w:p w14:paraId="11486FAB" w14:textId="77777777" w:rsidR="00485716" w:rsidRDefault="00273E27">
            <w:pPr>
              <w:jc w:val="both"/>
              <w:rPr>
                <w:szCs w:val="24"/>
              </w:rPr>
            </w:pPr>
            <w:r>
              <w:rPr>
                <w:rFonts w:eastAsia="Calibri"/>
                <w:szCs w:val="24"/>
                <w:lang w:eastAsia="lt-LT"/>
              </w:rPr>
              <w:t>Ar teikiama valstybės pagalba atitinka R</w:t>
            </w:r>
            <w:r>
              <w:t>eglamento (ES) Nr. 651/2014</w:t>
            </w:r>
            <w:r>
              <w:rPr>
                <w:rFonts w:eastAsia="Calibri"/>
                <w:szCs w:val="24"/>
                <w:lang w:eastAsia="lt-LT"/>
              </w:rPr>
              <w:t xml:space="preserve"> 1 straipsnio 2 dalies nuostatas dėl R</w:t>
            </w:r>
            <w:r>
              <w:t>eglamento (ES) Nr. 651/2014</w:t>
            </w:r>
            <w:r>
              <w:rPr>
                <w:rFonts w:eastAsia="Calibri"/>
                <w:szCs w:val="24"/>
                <w:lang w:eastAsia="lt-LT"/>
              </w:rPr>
              <w:t xml:space="preserve"> netaikymo?</w:t>
            </w:r>
          </w:p>
        </w:tc>
        <w:tc>
          <w:tcPr>
            <w:tcW w:w="945" w:type="dxa"/>
            <w:tcBorders>
              <w:top w:val="single" w:sz="6" w:space="0" w:color="auto"/>
              <w:left w:val="single" w:sz="6" w:space="0" w:color="auto"/>
              <w:bottom w:val="single" w:sz="6" w:space="0" w:color="auto"/>
              <w:right w:val="single" w:sz="6" w:space="0" w:color="auto"/>
            </w:tcBorders>
          </w:tcPr>
          <w:p w14:paraId="22F0B762" w14:textId="77777777" w:rsidR="00485716" w:rsidRDefault="00273E27">
            <w:pPr>
              <w:spacing w:line="276" w:lineRule="auto"/>
              <w:rPr>
                <w:szCs w:val="24"/>
              </w:rPr>
            </w:pPr>
            <w:r>
              <w:rPr>
                <w:szCs w:val="24"/>
              </w:rPr>
              <w:t>□ Taip</w:t>
            </w:r>
          </w:p>
        </w:tc>
        <w:tc>
          <w:tcPr>
            <w:tcW w:w="1020" w:type="dxa"/>
            <w:gridSpan w:val="3"/>
            <w:tcBorders>
              <w:top w:val="single" w:sz="6" w:space="0" w:color="auto"/>
              <w:left w:val="single" w:sz="6" w:space="0" w:color="auto"/>
              <w:bottom w:val="single" w:sz="6" w:space="0" w:color="auto"/>
              <w:right w:val="single" w:sz="6" w:space="0" w:color="auto"/>
            </w:tcBorders>
          </w:tcPr>
          <w:p w14:paraId="07B7F04A" w14:textId="77777777" w:rsidR="00485716" w:rsidRDefault="00273E27">
            <w:pPr>
              <w:jc w:val="both"/>
              <w:rPr>
                <w:szCs w:val="24"/>
              </w:rPr>
            </w:pPr>
            <w:r>
              <w:rPr>
                <w:szCs w:val="24"/>
              </w:rPr>
              <w:t xml:space="preserve">□ Ne </w:t>
            </w:r>
          </w:p>
        </w:tc>
        <w:tc>
          <w:tcPr>
            <w:tcW w:w="4980" w:type="dxa"/>
            <w:gridSpan w:val="2"/>
            <w:tcBorders>
              <w:top w:val="single" w:sz="6" w:space="0" w:color="auto"/>
              <w:left w:val="single" w:sz="6" w:space="0" w:color="auto"/>
              <w:bottom w:val="single" w:sz="6" w:space="0" w:color="auto"/>
              <w:right w:val="single" w:sz="6" w:space="0" w:color="auto"/>
            </w:tcBorders>
          </w:tcPr>
          <w:p w14:paraId="3689F783" w14:textId="77777777" w:rsidR="00485716" w:rsidRDefault="00485716">
            <w:pPr>
              <w:jc w:val="both"/>
              <w:rPr>
                <w:szCs w:val="24"/>
              </w:rPr>
            </w:pPr>
          </w:p>
        </w:tc>
      </w:tr>
      <w:tr w:rsidR="00485716" w14:paraId="2D306FF4" w14:textId="77777777">
        <w:tc>
          <w:tcPr>
            <w:tcW w:w="765" w:type="dxa"/>
            <w:tcBorders>
              <w:top w:val="single" w:sz="6" w:space="0" w:color="auto"/>
              <w:left w:val="single" w:sz="6" w:space="0" w:color="auto"/>
              <w:bottom w:val="single" w:sz="6" w:space="0" w:color="auto"/>
              <w:right w:val="single" w:sz="6" w:space="0" w:color="auto"/>
            </w:tcBorders>
          </w:tcPr>
          <w:p w14:paraId="3E305343" w14:textId="77777777" w:rsidR="00485716" w:rsidRDefault="00273E27">
            <w:pPr>
              <w:ind w:right="-465"/>
              <w:jc w:val="both"/>
              <w:rPr>
                <w:szCs w:val="24"/>
              </w:rPr>
            </w:pPr>
            <w:r>
              <w:rPr>
                <w:szCs w:val="24"/>
              </w:rPr>
              <w:t>3.3.</w:t>
            </w:r>
          </w:p>
        </w:tc>
        <w:tc>
          <w:tcPr>
            <w:tcW w:w="7024" w:type="dxa"/>
            <w:gridSpan w:val="2"/>
            <w:tcBorders>
              <w:top w:val="single" w:sz="6" w:space="0" w:color="auto"/>
              <w:left w:val="single" w:sz="6" w:space="0" w:color="auto"/>
              <w:bottom w:val="single" w:sz="6" w:space="0" w:color="auto"/>
              <w:right w:val="single" w:sz="6" w:space="0" w:color="auto"/>
            </w:tcBorders>
          </w:tcPr>
          <w:p w14:paraId="5EF717B1" w14:textId="77777777" w:rsidR="00485716" w:rsidRDefault="00273E27">
            <w:pPr>
              <w:jc w:val="both"/>
              <w:rPr>
                <w:szCs w:val="24"/>
              </w:rPr>
            </w:pPr>
            <w:r>
              <w:rPr>
                <w:rFonts w:eastAsia="Calibri"/>
                <w:szCs w:val="24"/>
                <w:lang w:eastAsia="lt-LT"/>
              </w:rPr>
              <w:t>Ar teikiama valstybės pagalba atitinka R</w:t>
            </w:r>
            <w:r>
              <w:t>eglamento (ES) Nr. 651/2014</w:t>
            </w:r>
            <w:r>
              <w:rPr>
                <w:rFonts w:eastAsia="Calibri"/>
                <w:szCs w:val="24"/>
                <w:lang w:eastAsia="lt-LT"/>
              </w:rPr>
              <w:t xml:space="preserve"> 1 straipsnio 3 dalies nuostatas dėl R</w:t>
            </w:r>
            <w:r>
              <w:t>eglamento (ES) Nr. 651/2014</w:t>
            </w:r>
            <w:r>
              <w:rPr>
                <w:rFonts w:eastAsia="Calibri"/>
                <w:szCs w:val="24"/>
                <w:lang w:eastAsia="lt-LT"/>
              </w:rPr>
              <w:t xml:space="preserve"> netaikymo?</w:t>
            </w:r>
          </w:p>
        </w:tc>
        <w:tc>
          <w:tcPr>
            <w:tcW w:w="945" w:type="dxa"/>
            <w:tcBorders>
              <w:top w:val="single" w:sz="6" w:space="0" w:color="auto"/>
              <w:left w:val="single" w:sz="6" w:space="0" w:color="auto"/>
              <w:bottom w:val="single" w:sz="6" w:space="0" w:color="auto"/>
              <w:right w:val="single" w:sz="6" w:space="0" w:color="auto"/>
            </w:tcBorders>
          </w:tcPr>
          <w:p w14:paraId="4854BFC9" w14:textId="77777777" w:rsidR="00485716" w:rsidRDefault="00273E27">
            <w:pPr>
              <w:spacing w:line="276" w:lineRule="auto"/>
              <w:rPr>
                <w:szCs w:val="24"/>
              </w:rPr>
            </w:pPr>
            <w:r>
              <w:rPr>
                <w:szCs w:val="24"/>
              </w:rPr>
              <w:t>□ Taip</w:t>
            </w:r>
          </w:p>
        </w:tc>
        <w:tc>
          <w:tcPr>
            <w:tcW w:w="1020" w:type="dxa"/>
            <w:gridSpan w:val="3"/>
            <w:tcBorders>
              <w:top w:val="single" w:sz="6" w:space="0" w:color="auto"/>
              <w:left w:val="single" w:sz="6" w:space="0" w:color="auto"/>
              <w:bottom w:val="single" w:sz="6" w:space="0" w:color="auto"/>
              <w:right w:val="single" w:sz="6" w:space="0" w:color="auto"/>
            </w:tcBorders>
          </w:tcPr>
          <w:p w14:paraId="764E5DBB" w14:textId="77777777" w:rsidR="00485716" w:rsidRDefault="00273E27">
            <w:pPr>
              <w:jc w:val="both"/>
              <w:rPr>
                <w:szCs w:val="24"/>
              </w:rPr>
            </w:pPr>
            <w:r>
              <w:rPr>
                <w:szCs w:val="24"/>
              </w:rPr>
              <w:t xml:space="preserve">□ Ne </w:t>
            </w:r>
          </w:p>
        </w:tc>
        <w:tc>
          <w:tcPr>
            <w:tcW w:w="4980" w:type="dxa"/>
            <w:gridSpan w:val="2"/>
            <w:tcBorders>
              <w:top w:val="single" w:sz="6" w:space="0" w:color="auto"/>
              <w:left w:val="single" w:sz="6" w:space="0" w:color="auto"/>
              <w:bottom w:val="single" w:sz="6" w:space="0" w:color="auto"/>
              <w:right w:val="single" w:sz="6" w:space="0" w:color="auto"/>
            </w:tcBorders>
          </w:tcPr>
          <w:p w14:paraId="376EB55D" w14:textId="77777777" w:rsidR="00485716" w:rsidRDefault="00485716">
            <w:pPr>
              <w:jc w:val="both"/>
              <w:rPr>
                <w:szCs w:val="24"/>
              </w:rPr>
            </w:pPr>
          </w:p>
        </w:tc>
      </w:tr>
      <w:tr w:rsidR="00485716" w14:paraId="62775B08" w14:textId="77777777">
        <w:tc>
          <w:tcPr>
            <w:tcW w:w="765" w:type="dxa"/>
            <w:tcBorders>
              <w:top w:val="single" w:sz="6" w:space="0" w:color="auto"/>
              <w:left w:val="single" w:sz="6" w:space="0" w:color="auto"/>
              <w:bottom w:val="single" w:sz="6" w:space="0" w:color="auto"/>
              <w:right w:val="single" w:sz="6" w:space="0" w:color="auto"/>
            </w:tcBorders>
          </w:tcPr>
          <w:p w14:paraId="36439BD6" w14:textId="77777777" w:rsidR="00485716" w:rsidRDefault="00273E27">
            <w:pPr>
              <w:ind w:right="-465"/>
              <w:jc w:val="both"/>
              <w:rPr>
                <w:szCs w:val="24"/>
              </w:rPr>
            </w:pPr>
            <w:r>
              <w:rPr>
                <w:szCs w:val="24"/>
              </w:rPr>
              <w:t>3.4.</w:t>
            </w:r>
          </w:p>
        </w:tc>
        <w:tc>
          <w:tcPr>
            <w:tcW w:w="7024" w:type="dxa"/>
            <w:gridSpan w:val="2"/>
            <w:tcBorders>
              <w:top w:val="single" w:sz="6" w:space="0" w:color="auto"/>
              <w:left w:val="single" w:sz="6" w:space="0" w:color="auto"/>
              <w:bottom w:val="single" w:sz="6" w:space="0" w:color="auto"/>
              <w:right w:val="single" w:sz="6" w:space="0" w:color="auto"/>
            </w:tcBorders>
          </w:tcPr>
          <w:p w14:paraId="5ABE436C" w14:textId="77777777" w:rsidR="00485716" w:rsidRDefault="00273E27">
            <w:pPr>
              <w:jc w:val="both"/>
              <w:rPr>
                <w:szCs w:val="24"/>
              </w:rPr>
            </w:pPr>
            <w:r>
              <w:rPr>
                <w:rFonts w:eastAsia="Calibri"/>
                <w:szCs w:val="24"/>
                <w:lang w:eastAsia="lt-LT"/>
              </w:rPr>
              <w:t>Ar teikiama valstybės pagalba atitinka R</w:t>
            </w:r>
            <w:r>
              <w:t>eglamento (ES) Nr. 651/2014</w:t>
            </w:r>
            <w:r>
              <w:rPr>
                <w:rFonts w:eastAsia="Calibri"/>
                <w:szCs w:val="24"/>
                <w:lang w:eastAsia="lt-LT"/>
              </w:rPr>
              <w:t xml:space="preserve"> 1 straipsnio 4 dalies c punkto nuostatas dėl </w:t>
            </w:r>
            <w:r>
              <w:rPr>
                <w:rFonts w:eastAsia="Calibri"/>
                <w:bCs/>
                <w:szCs w:val="24"/>
                <w:lang w:eastAsia="lt-LT"/>
              </w:rPr>
              <w:t>Bendrojo bendrosios išimties reglamento</w:t>
            </w:r>
            <w:r>
              <w:rPr>
                <w:rFonts w:eastAsia="Calibri"/>
                <w:szCs w:val="24"/>
                <w:lang w:eastAsia="lt-LT"/>
              </w:rPr>
              <w:t xml:space="preserve"> netaikymo sunkumų patiriančioms įmonėms?</w:t>
            </w:r>
          </w:p>
        </w:tc>
        <w:tc>
          <w:tcPr>
            <w:tcW w:w="945" w:type="dxa"/>
            <w:tcBorders>
              <w:top w:val="single" w:sz="6" w:space="0" w:color="auto"/>
              <w:left w:val="single" w:sz="6" w:space="0" w:color="auto"/>
              <w:bottom w:val="single" w:sz="6" w:space="0" w:color="auto"/>
              <w:right w:val="single" w:sz="6" w:space="0" w:color="auto"/>
            </w:tcBorders>
          </w:tcPr>
          <w:p w14:paraId="502D688A" w14:textId="77777777" w:rsidR="00485716" w:rsidRDefault="00273E27">
            <w:pPr>
              <w:spacing w:line="276" w:lineRule="auto"/>
              <w:rPr>
                <w:szCs w:val="24"/>
              </w:rPr>
            </w:pPr>
            <w:r>
              <w:rPr>
                <w:szCs w:val="24"/>
              </w:rPr>
              <w:t>□ Taip</w:t>
            </w:r>
          </w:p>
        </w:tc>
        <w:tc>
          <w:tcPr>
            <w:tcW w:w="1020" w:type="dxa"/>
            <w:gridSpan w:val="3"/>
            <w:tcBorders>
              <w:top w:val="single" w:sz="6" w:space="0" w:color="auto"/>
              <w:left w:val="single" w:sz="6" w:space="0" w:color="auto"/>
              <w:bottom w:val="single" w:sz="6" w:space="0" w:color="auto"/>
              <w:right w:val="single" w:sz="6" w:space="0" w:color="auto"/>
            </w:tcBorders>
          </w:tcPr>
          <w:p w14:paraId="79105BF5" w14:textId="77777777" w:rsidR="00485716" w:rsidRDefault="00273E27">
            <w:pPr>
              <w:jc w:val="both"/>
              <w:rPr>
                <w:szCs w:val="24"/>
              </w:rPr>
            </w:pPr>
            <w:r>
              <w:rPr>
                <w:szCs w:val="24"/>
              </w:rPr>
              <w:t xml:space="preserve">□ Ne </w:t>
            </w:r>
          </w:p>
        </w:tc>
        <w:tc>
          <w:tcPr>
            <w:tcW w:w="4980" w:type="dxa"/>
            <w:gridSpan w:val="2"/>
            <w:tcBorders>
              <w:top w:val="single" w:sz="6" w:space="0" w:color="auto"/>
              <w:left w:val="single" w:sz="6" w:space="0" w:color="auto"/>
              <w:bottom w:val="single" w:sz="6" w:space="0" w:color="auto"/>
              <w:right w:val="single" w:sz="6" w:space="0" w:color="auto"/>
            </w:tcBorders>
          </w:tcPr>
          <w:p w14:paraId="03A4C071" w14:textId="77777777" w:rsidR="00485716" w:rsidRDefault="00485716">
            <w:pPr>
              <w:jc w:val="both"/>
              <w:rPr>
                <w:szCs w:val="24"/>
              </w:rPr>
            </w:pPr>
          </w:p>
        </w:tc>
      </w:tr>
      <w:tr w:rsidR="00485716" w14:paraId="799147FB" w14:textId="77777777">
        <w:tc>
          <w:tcPr>
            <w:tcW w:w="765" w:type="dxa"/>
            <w:tcBorders>
              <w:top w:val="single" w:sz="6" w:space="0" w:color="auto"/>
              <w:left w:val="single" w:sz="6" w:space="0" w:color="auto"/>
              <w:bottom w:val="single" w:sz="6" w:space="0" w:color="auto"/>
              <w:right w:val="single" w:sz="6" w:space="0" w:color="auto"/>
            </w:tcBorders>
          </w:tcPr>
          <w:p w14:paraId="17EC33A6" w14:textId="77777777" w:rsidR="00485716" w:rsidRDefault="00273E27">
            <w:pPr>
              <w:ind w:right="-465"/>
              <w:jc w:val="both"/>
              <w:rPr>
                <w:szCs w:val="24"/>
              </w:rPr>
            </w:pPr>
            <w:r>
              <w:rPr>
                <w:szCs w:val="24"/>
              </w:rPr>
              <w:t>3.5.</w:t>
            </w:r>
          </w:p>
        </w:tc>
        <w:tc>
          <w:tcPr>
            <w:tcW w:w="7024" w:type="dxa"/>
            <w:gridSpan w:val="2"/>
            <w:tcBorders>
              <w:top w:val="single" w:sz="6" w:space="0" w:color="auto"/>
              <w:left w:val="single" w:sz="6" w:space="0" w:color="auto"/>
              <w:bottom w:val="single" w:sz="6" w:space="0" w:color="auto"/>
              <w:right w:val="single" w:sz="6" w:space="0" w:color="auto"/>
            </w:tcBorders>
          </w:tcPr>
          <w:p w14:paraId="5B8636CD" w14:textId="77777777" w:rsidR="00485716" w:rsidRDefault="00273E27">
            <w:pPr>
              <w:jc w:val="both"/>
              <w:rPr>
                <w:szCs w:val="24"/>
              </w:rPr>
            </w:pPr>
            <w:r>
              <w:rPr>
                <w:rFonts w:eastAsia="Calibri"/>
                <w:szCs w:val="24"/>
                <w:lang w:eastAsia="lt-LT"/>
              </w:rPr>
              <w:t>Ar teikiama valstybės pagalba atitinka R</w:t>
            </w:r>
            <w:r>
              <w:t>eglamento (ES) Nr. 651/2014</w:t>
            </w:r>
            <w:r>
              <w:rPr>
                <w:rFonts w:eastAsia="Calibri"/>
                <w:szCs w:val="24"/>
                <w:lang w:eastAsia="lt-LT"/>
              </w:rPr>
              <w:t xml:space="preserve"> 1 straipsnio 5 dalies nuostatas dėl R</w:t>
            </w:r>
            <w:r>
              <w:t>eglamento (ES) Nr. 651/2014</w:t>
            </w:r>
            <w:r>
              <w:rPr>
                <w:rFonts w:eastAsia="Calibri"/>
                <w:szCs w:val="24"/>
                <w:lang w:eastAsia="lt-LT"/>
              </w:rPr>
              <w:t xml:space="preserve"> netaikymo?</w:t>
            </w:r>
          </w:p>
        </w:tc>
        <w:tc>
          <w:tcPr>
            <w:tcW w:w="945" w:type="dxa"/>
            <w:tcBorders>
              <w:top w:val="single" w:sz="6" w:space="0" w:color="auto"/>
              <w:left w:val="single" w:sz="6" w:space="0" w:color="auto"/>
              <w:bottom w:val="single" w:sz="6" w:space="0" w:color="auto"/>
              <w:right w:val="single" w:sz="6" w:space="0" w:color="auto"/>
            </w:tcBorders>
          </w:tcPr>
          <w:p w14:paraId="46F14BF6" w14:textId="77777777" w:rsidR="00485716" w:rsidRDefault="00273E27">
            <w:pPr>
              <w:spacing w:line="276" w:lineRule="auto"/>
              <w:rPr>
                <w:szCs w:val="24"/>
              </w:rPr>
            </w:pPr>
            <w:r>
              <w:rPr>
                <w:szCs w:val="24"/>
              </w:rPr>
              <w:t>□ Taip</w:t>
            </w:r>
          </w:p>
        </w:tc>
        <w:tc>
          <w:tcPr>
            <w:tcW w:w="1020" w:type="dxa"/>
            <w:gridSpan w:val="3"/>
            <w:tcBorders>
              <w:top w:val="single" w:sz="6" w:space="0" w:color="auto"/>
              <w:left w:val="single" w:sz="6" w:space="0" w:color="auto"/>
              <w:bottom w:val="single" w:sz="6" w:space="0" w:color="auto"/>
              <w:right w:val="single" w:sz="6" w:space="0" w:color="auto"/>
            </w:tcBorders>
          </w:tcPr>
          <w:p w14:paraId="31FBEF04" w14:textId="77777777" w:rsidR="00485716" w:rsidRDefault="00273E27">
            <w:pPr>
              <w:jc w:val="both"/>
              <w:rPr>
                <w:szCs w:val="24"/>
              </w:rPr>
            </w:pPr>
            <w:r>
              <w:rPr>
                <w:szCs w:val="24"/>
              </w:rPr>
              <w:t xml:space="preserve">□ Ne </w:t>
            </w:r>
          </w:p>
        </w:tc>
        <w:tc>
          <w:tcPr>
            <w:tcW w:w="4980" w:type="dxa"/>
            <w:gridSpan w:val="2"/>
            <w:tcBorders>
              <w:top w:val="single" w:sz="6" w:space="0" w:color="auto"/>
              <w:left w:val="single" w:sz="6" w:space="0" w:color="auto"/>
              <w:bottom w:val="single" w:sz="6" w:space="0" w:color="auto"/>
              <w:right w:val="single" w:sz="6" w:space="0" w:color="auto"/>
            </w:tcBorders>
          </w:tcPr>
          <w:p w14:paraId="290D2D58" w14:textId="77777777" w:rsidR="00485716" w:rsidRDefault="00485716">
            <w:pPr>
              <w:jc w:val="both"/>
              <w:rPr>
                <w:szCs w:val="24"/>
              </w:rPr>
            </w:pPr>
          </w:p>
        </w:tc>
      </w:tr>
      <w:tr w:rsidR="00485716" w14:paraId="55D4272A" w14:textId="77777777">
        <w:tc>
          <w:tcPr>
            <w:tcW w:w="765" w:type="dxa"/>
            <w:tcBorders>
              <w:top w:val="single" w:sz="6" w:space="0" w:color="auto"/>
              <w:left w:val="single" w:sz="6" w:space="0" w:color="auto"/>
              <w:bottom w:val="single" w:sz="6" w:space="0" w:color="auto"/>
              <w:right w:val="single" w:sz="6" w:space="0" w:color="auto"/>
            </w:tcBorders>
          </w:tcPr>
          <w:p w14:paraId="55835F2B" w14:textId="77777777" w:rsidR="00485716" w:rsidRDefault="00273E27">
            <w:pPr>
              <w:ind w:right="-465"/>
              <w:jc w:val="both"/>
              <w:rPr>
                <w:szCs w:val="24"/>
              </w:rPr>
            </w:pPr>
            <w:r>
              <w:rPr>
                <w:szCs w:val="24"/>
              </w:rPr>
              <w:t>3.6.</w:t>
            </w:r>
          </w:p>
        </w:tc>
        <w:tc>
          <w:tcPr>
            <w:tcW w:w="7024" w:type="dxa"/>
            <w:gridSpan w:val="2"/>
            <w:tcBorders>
              <w:top w:val="single" w:sz="6" w:space="0" w:color="auto"/>
              <w:left w:val="single" w:sz="6" w:space="0" w:color="auto"/>
              <w:bottom w:val="single" w:sz="6" w:space="0" w:color="auto"/>
              <w:right w:val="single" w:sz="6" w:space="0" w:color="auto"/>
            </w:tcBorders>
          </w:tcPr>
          <w:p w14:paraId="2BE6DF8C" w14:textId="77777777" w:rsidR="00485716" w:rsidRDefault="00273E27">
            <w:pPr>
              <w:jc w:val="both"/>
              <w:rPr>
                <w:szCs w:val="24"/>
              </w:rPr>
            </w:pPr>
            <w:r>
              <w:rPr>
                <w:rFonts w:eastAsia="Calibri"/>
                <w:szCs w:val="24"/>
                <w:lang w:eastAsia="lt-LT"/>
              </w:rPr>
              <w:t>Ar teikiama valstybės pagalba atitinka R</w:t>
            </w:r>
            <w:r>
              <w:t>eglamento (ES) Nr. 651/2014</w:t>
            </w:r>
            <w:r>
              <w:rPr>
                <w:rFonts w:eastAsia="Calibri"/>
                <w:szCs w:val="24"/>
                <w:lang w:eastAsia="lt-LT"/>
              </w:rPr>
              <w:t xml:space="preserve"> 4 straipsnio 1 dalies </w:t>
            </w:r>
            <w:proofErr w:type="spellStart"/>
            <w:r>
              <w:rPr>
                <w:rFonts w:eastAsia="Calibri"/>
                <w:szCs w:val="24"/>
                <w:lang w:eastAsia="lt-LT"/>
              </w:rPr>
              <w:t>sb</w:t>
            </w:r>
            <w:proofErr w:type="spellEnd"/>
            <w:r>
              <w:rPr>
                <w:rFonts w:eastAsia="Calibri"/>
                <w:szCs w:val="24"/>
                <w:lang w:eastAsia="lt-LT"/>
              </w:rPr>
              <w:t xml:space="preserve"> punkte nustatytas pranešimo ribas?</w:t>
            </w:r>
          </w:p>
        </w:tc>
        <w:tc>
          <w:tcPr>
            <w:tcW w:w="945" w:type="dxa"/>
            <w:tcBorders>
              <w:top w:val="single" w:sz="6" w:space="0" w:color="auto"/>
              <w:left w:val="single" w:sz="6" w:space="0" w:color="auto"/>
              <w:bottom w:val="single" w:sz="6" w:space="0" w:color="auto"/>
              <w:right w:val="single" w:sz="6" w:space="0" w:color="auto"/>
            </w:tcBorders>
          </w:tcPr>
          <w:p w14:paraId="531AB90D" w14:textId="77777777" w:rsidR="00485716" w:rsidRDefault="00273E27">
            <w:pPr>
              <w:spacing w:line="276" w:lineRule="auto"/>
              <w:rPr>
                <w:szCs w:val="24"/>
              </w:rPr>
            </w:pPr>
            <w:r>
              <w:rPr>
                <w:szCs w:val="24"/>
              </w:rPr>
              <w:t>□ Taip</w:t>
            </w:r>
          </w:p>
        </w:tc>
        <w:tc>
          <w:tcPr>
            <w:tcW w:w="1020" w:type="dxa"/>
            <w:gridSpan w:val="3"/>
            <w:tcBorders>
              <w:top w:val="single" w:sz="6" w:space="0" w:color="auto"/>
              <w:left w:val="single" w:sz="6" w:space="0" w:color="auto"/>
              <w:bottom w:val="single" w:sz="6" w:space="0" w:color="auto"/>
              <w:right w:val="single" w:sz="6" w:space="0" w:color="auto"/>
            </w:tcBorders>
          </w:tcPr>
          <w:p w14:paraId="433A1498" w14:textId="77777777" w:rsidR="00485716" w:rsidRDefault="00273E27">
            <w:pPr>
              <w:jc w:val="both"/>
              <w:rPr>
                <w:szCs w:val="24"/>
              </w:rPr>
            </w:pPr>
            <w:r>
              <w:rPr>
                <w:szCs w:val="24"/>
              </w:rPr>
              <w:t xml:space="preserve">□ Ne </w:t>
            </w:r>
          </w:p>
        </w:tc>
        <w:tc>
          <w:tcPr>
            <w:tcW w:w="4980" w:type="dxa"/>
            <w:gridSpan w:val="2"/>
            <w:tcBorders>
              <w:top w:val="single" w:sz="6" w:space="0" w:color="auto"/>
              <w:left w:val="single" w:sz="6" w:space="0" w:color="auto"/>
              <w:bottom w:val="single" w:sz="6" w:space="0" w:color="auto"/>
              <w:right w:val="single" w:sz="6" w:space="0" w:color="auto"/>
            </w:tcBorders>
          </w:tcPr>
          <w:p w14:paraId="2634E223" w14:textId="77777777" w:rsidR="00485716" w:rsidRDefault="00485716">
            <w:pPr>
              <w:jc w:val="both"/>
              <w:rPr>
                <w:szCs w:val="24"/>
              </w:rPr>
            </w:pPr>
          </w:p>
        </w:tc>
      </w:tr>
      <w:tr w:rsidR="00485716" w14:paraId="4E1340A2" w14:textId="77777777">
        <w:tc>
          <w:tcPr>
            <w:tcW w:w="765" w:type="dxa"/>
            <w:tcBorders>
              <w:top w:val="single" w:sz="6" w:space="0" w:color="auto"/>
              <w:left w:val="single" w:sz="6" w:space="0" w:color="auto"/>
              <w:bottom w:val="single" w:sz="6" w:space="0" w:color="auto"/>
              <w:right w:val="single" w:sz="6" w:space="0" w:color="auto"/>
            </w:tcBorders>
          </w:tcPr>
          <w:p w14:paraId="46EF56EA" w14:textId="77777777" w:rsidR="00485716" w:rsidRDefault="00273E27">
            <w:pPr>
              <w:ind w:right="-465"/>
              <w:jc w:val="both"/>
              <w:rPr>
                <w:szCs w:val="24"/>
              </w:rPr>
            </w:pPr>
            <w:r>
              <w:rPr>
                <w:szCs w:val="24"/>
              </w:rPr>
              <w:t>3.7.</w:t>
            </w:r>
          </w:p>
        </w:tc>
        <w:tc>
          <w:tcPr>
            <w:tcW w:w="7024" w:type="dxa"/>
            <w:gridSpan w:val="2"/>
            <w:tcBorders>
              <w:top w:val="single" w:sz="6" w:space="0" w:color="auto"/>
              <w:left w:val="single" w:sz="6" w:space="0" w:color="auto"/>
              <w:bottom w:val="single" w:sz="6" w:space="0" w:color="auto"/>
              <w:right w:val="single" w:sz="6" w:space="0" w:color="auto"/>
            </w:tcBorders>
          </w:tcPr>
          <w:p w14:paraId="66E634FC" w14:textId="77777777" w:rsidR="00485716" w:rsidRDefault="00273E27">
            <w:pPr>
              <w:jc w:val="both"/>
              <w:rPr>
                <w:szCs w:val="24"/>
              </w:rPr>
            </w:pPr>
            <w:r>
              <w:rPr>
                <w:rFonts w:eastAsia="Calibri"/>
                <w:bCs/>
                <w:szCs w:val="24"/>
                <w:lang w:eastAsia="lt-LT"/>
              </w:rPr>
              <w:t xml:space="preserve">Ar teikiama valstybės pagalba atitinka </w:t>
            </w:r>
            <w:r>
              <w:rPr>
                <w:rFonts w:eastAsia="Calibri"/>
                <w:szCs w:val="24"/>
                <w:lang w:eastAsia="lt-LT"/>
              </w:rPr>
              <w:t>R</w:t>
            </w:r>
            <w:r>
              <w:t>eglamento (ES) Nr. 651/2014</w:t>
            </w:r>
            <w:r>
              <w:rPr>
                <w:rFonts w:eastAsia="Calibri"/>
                <w:bCs/>
                <w:szCs w:val="24"/>
                <w:lang w:eastAsia="lt-LT"/>
              </w:rPr>
              <w:t xml:space="preserve"> 4 straipsnio 2 dalies nuostatas, t. y. projektas nėra dirbtinai skaidomas?</w:t>
            </w:r>
          </w:p>
        </w:tc>
        <w:tc>
          <w:tcPr>
            <w:tcW w:w="945" w:type="dxa"/>
            <w:tcBorders>
              <w:top w:val="single" w:sz="6" w:space="0" w:color="auto"/>
              <w:left w:val="single" w:sz="6" w:space="0" w:color="auto"/>
              <w:bottom w:val="single" w:sz="6" w:space="0" w:color="auto"/>
              <w:right w:val="single" w:sz="6" w:space="0" w:color="auto"/>
            </w:tcBorders>
          </w:tcPr>
          <w:p w14:paraId="288B898E" w14:textId="77777777" w:rsidR="00485716" w:rsidRDefault="00273E27">
            <w:pPr>
              <w:spacing w:line="276" w:lineRule="auto"/>
              <w:rPr>
                <w:szCs w:val="24"/>
              </w:rPr>
            </w:pPr>
            <w:r>
              <w:rPr>
                <w:szCs w:val="24"/>
              </w:rPr>
              <w:t>□ Taip</w:t>
            </w:r>
          </w:p>
        </w:tc>
        <w:tc>
          <w:tcPr>
            <w:tcW w:w="1020" w:type="dxa"/>
            <w:gridSpan w:val="3"/>
            <w:tcBorders>
              <w:top w:val="single" w:sz="6" w:space="0" w:color="auto"/>
              <w:left w:val="single" w:sz="6" w:space="0" w:color="auto"/>
              <w:bottom w:val="single" w:sz="6" w:space="0" w:color="auto"/>
              <w:right w:val="single" w:sz="6" w:space="0" w:color="auto"/>
            </w:tcBorders>
          </w:tcPr>
          <w:p w14:paraId="0C28D68B" w14:textId="77777777" w:rsidR="00485716" w:rsidRDefault="00273E27">
            <w:pPr>
              <w:jc w:val="both"/>
              <w:rPr>
                <w:szCs w:val="24"/>
              </w:rPr>
            </w:pPr>
            <w:r>
              <w:rPr>
                <w:szCs w:val="24"/>
              </w:rPr>
              <w:t xml:space="preserve">□ Ne </w:t>
            </w:r>
          </w:p>
        </w:tc>
        <w:tc>
          <w:tcPr>
            <w:tcW w:w="4980" w:type="dxa"/>
            <w:gridSpan w:val="2"/>
            <w:tcBorders>
              <w:top w:val="single" w:sz="6" w:space="0" w:color="auto"/>
              <w:left w:val="single" w:sz="6" w:space="0" w:color="auto"/>
              <w:bottom w:val="single" w:sz="6" w:space="0" w:color="auto"/>
              <w:right w:val="single" w:sz="6" w:space="0" w:color="auto"/>
            </w:tcBorders>
          </w:tcPr>
          <w:p w14:paraId="15BB50B1" w14:textId="77777777" w:rsidR="00485716" w:rsidRDefault="00485716">
            <w:pPr>
              <w:jc w:val="both"/>
              <w:rPr>
                <w:szCs w:val="24"/>
              </w:rPr>
            </w:pPr>
          </w:p>
        </w:tc>
      </w:tr>
      <w:tr w:rsidR="00485716" w14:paraId="382939B5" w14:textId="77777777">
        <w:tc>
          <w:tcPr>
            <w:tcW w:w="765" w:type="dxa"/>
            <w:tcBorders>
              <w:top w:val="single" w:sz="6" w:space="0" w:color="auto"/>
              <w:left w:val="single" w:sz="6" w:space="0" w:color="auto"/>
              <w:bottom w:val="single" w:sz="6" w:space="0" w:color="auto"/>
              <w:right w:val="single" w:sz="6" w:space="0" w:color="auto"/>
            </w:tcBorders>
          </w:tcPr>
          <w:p w14:paraId="53A378BE" w14:textId="77777777" w:rsidR="00485716" w:rsidRDefault="00273E27">
            <w:pPr>
              <w:ind w:right="-465"/>
              <w:jc w:val="both"/>
              <w:rPr>
                <w:szCs w:val="24"/>
              </w:rPr>
            </w:pPr>
            <w:r>
              <w:rPr>
                <w:szCs w:val="24"/>
              </w:rPr>
              <w:t>3.8.</w:t>
            </w:r>
          </w:p>
        </w:tc>
        <w:tc>
          <w:tcPr>
            <w:tcW w:w="7024" w:type="dxa"/>
            <w:gridSpan w:val="2"/>
            <w:tcBorders>
              <w:top w:val="single" w:sz="6" w:space="0" w:color="auto"/>
              <w:left w:val="single" w:sz="6" w:space="0" w:color="auto"/>
              <w:bottom w:val="single" w:sz="6" w:space="0" w:color="auto"/>
              <w:right w:val="single" w:sz="6" w:space="0" w:color="auto"/>
            </w:tcBorders>
          </w:tcPr>
          <w:p w14:paraId="415BEE76" w14:textId="77777777" w:rsidR="00485716" w:rsidRDefault="00273E27">
            <w:pPr>
              <w:jc w:val="both"/>
              <w:rPr>
                <w:szCs w:val="24"/>
              </w:rPr>
            </w:pPr>
            <w:r>
              <w:rPr>
                <w:rFonts w:eastAsia="Calibri"/>
                <w:bCs/>
                <w:szCs w:val="24"/>
                <w:lang w:eastAsia="lt-LT"/>
              </w:rPr>
              <w:t xml:space="preserve">Ar yra pagrįstas valstybės pagalbos skatinamasis poveikis pagal </w:t>
            </w:r>
            <w:r>
              <w:rPr>
                <w:rFonts w:eastAsia="Calibri"/>
                <w:szCs w:val="24"/>
                <w:lang w:eastAsia="lt-LT"/>
              </w:rPr>
              <w:t>R</w:t>
            </w:r>
            <w:r>
              <w:t>eglamento (ES) Nr. 651/2014</w:t>
            </w:r>
            <w:r>
              <w:rPr>
                <w:rFonts w:eastAsia="Calibri"/>
                <w:bCs/>
                <w:szCs w:val="24"/>
                <w:lang w:eastAsia="lt-LT"/>
              </w:rPr>
              <w:t xml:space="preserve"> 6 straipsnio 2 dalį?</w:t>
            </w:r>
          </w:p>
        </w:tc>
        <w:tc>
          <w:tcPr>
            <w:tcW w:w="945" w:type="dxa"/>
            <w:tcBorders>
              <w:top w:val="single" w:sz="6" w:space="0" w:color="auto"/>
              <w:left w:val="single" w:sz="6" w:space="0" w:color="auto"/>
              <w:bottom w:val="single" w:sz="6" w:space="0" w:color="auto"/>
              <w:right w:val="single" w:sz="6" w:space="0" w:color="auto"/>
            </w:tcBorders>
          </w:tcPr>
          <w:p w14:paraId="7ED7EBBF" w14:textId="77777777" w:rsidR="00485716" w:rsidRDefault="00273E27">
            <w:pPr>
              <w:spacing w:line="276" w:lineRule="auto"/>
              <w:rPr>
                <w:szCs w:val="24"/>
              </w:rPr>
            </w:pPr>
            <w:r>
              <w:rPr>
                <w:szCs w:val="24"/>
              </w:rPr>
              <w:t>□ Taip</w:t>
            </w:r>
          </w:p>
        </w:tc>
        <w:tc>
          <w:tcPr>
            <w:tcW w:w="1020" w:type="dxa"/>
            <w:gridSpan w:val="3"/>
            <w:tcBorders>
              <w:top w:val="single" w:sz="6" w:space="0" w:color="auto"/>
              <w:left w:val="single" w:sz="6" w:space="0" w:color="auto"/>
              <w:bottom w:val="single" w:sz="6" w:space="0" w:color="auto"/>
              <w:right w:val="single" w:sz="6" w:space="0" w:color="auto"/>
            </w:tcBorders>
          </w:tcPr>
          <w:p w14:paraId="3C7BF825" w14:textId="77777777" w:rsidR="00485716" w:rsidRDefault="00273E27">
            <w:pPr>
              <w:jc w:val="both"/>
              <w:rPr>
                <w:szCs w:val="24"/>
              </w:rPr>
            </w:pPr>
            <w:r>
              <w:rPr>
                <w:szCs w:val="24"/>
              </w:rPr>
              <w:t xml:space="preserve">□ Ne </w:t>
            </w:r>
          </w:p>
        </w:tc>
        <w:tc>
          <w:tcPr>
            <w:tcW w:w="4980" w:type="dxa"/>
            <w:gridSpan w:val="2"/>
            <w:tcBorders>
              <w:top w:val="single" w:sz="6" w:space="0" w:color="auto"/>
              <w:left w:val="single" w:sz="6" w:space="0" w:color="auto"/>
              <w:bottom w:val="single" w:sz="6" w:space="0" w:color="auto"/>
              <w:right w:val="single" w:sz="6" w:space="0" w:color="auto"/>
            </w:tcBorders>
          </w:tcPr>
          <w:p w14:paraId="7AEB83B9" w14:textId="77777777" w:rsidR="00485716" w:rsidRDefault="00485716">
            <w:pPr>
              <w:jc w:val="both"/>
              <w:rPr>
                <w:szCs w:val="24"/>
              </w:rPr>
            </w:pPr>
          </w:p>
        </w:tc>
      </w:tr>
      <w:tr w:rsidR="00485716" w14:paraId="6C75390D" w14:textId="77777777">
        <w:tc>
          <w:tcPr>
            <w:tcW w:w="765" w:type="dxa"/>
            <w:tcBorders>
              <w:top w:val="single" w:sz="6" w:space="0" w:color="auto"/>
              <w:left w:val="single" w:sz="6" w:space="0" w:color="auto"/>
              <w:bottom w:val="single" w:sz="6" w:space="0" w:color="auto"/>
              <w:right w:val="single" w:sz="6" w:space="0" w:color="auto"/>
            </w:tcBorders>
          </w:tcPr>
          <w:p w14:paraId="2097A501" w14:textId="77777777" w:rsidR="00485716" w:rsidRDefault="00273E27">
            <w:pPr>
              <w:ind w:right="-465"/>
              <w:jc w:val="both"/>
              <w:rPr>
                <w:szCs w:val="24"/>
              </w:rPr>
            </w:pPr>
            <w:r>
              <w:t>3.9.</w:t>
            </w:r>
          </w:p>
        </w:tc>
        <w:tc>
          <w:tcPr>
            <w:tcW w:w="7024" w:type="dxa"/>
            <w:gridSpan w:val="2"/>
            <w:tcBorders>
              <w:top w:val="single" w:sz="6" w:space="0" w:color="auto"/>
              <w:left w:val="single" w:sz="6" w:space="0" w:color="auto"/>
              <w:bottom w:val="single" w:sz="6" w:space="0" w:color="auto"/>
              <w:right w:val="single" w:sz="6" w:space="0" w:color="auto"/>
            </w:tcBorders>
          </w:tcPr>
          <w:p w14:paraId="74A1DF71" w14:textId="77777777" w:rsidR="00485716" w:rsidRDefault="00273E27">
            <w:pPr>
              <w:jc w:val="both"/>
              <w:rPr>
                <w:szCs w:val="24"/>
              </w:rPr>
            </w:pPr>
            <w:r>
              <w:rPr>
                <w:rFonts w:eastAsia="Calibri"/>
                <w:bCs/>
                <w:szCs w:val="24"/>
                <w:lang w:eastAsia="lt-LT"/>
              </w:rPr>
              <w:t xml:space="preserve">Ar yra laikomasi valstybės pagalbos sumavimo reikalavimų, nustatytų </w:t>
            </w:r>
            <w:r>
              <w:rPr>
                <w:rFonts w:eastAsia="Calibri"/>
                <w:szCs w:val="24"/>
                <w:lang w:eastAsia="lt-LT"/>
              </w:rPr>
              <w:t>R</w:t>
            </w:r>
            <w:r>
              <w:t>eglamento (ES) Nr. 651/2014</w:t>
            </w:r>
            <w:r>
              <w:rPr>
                <w:rFonts w:eastAsia="Calibri"/>
                <w:bCs/>
                <w:szCs w:val="24"/>
                <w:lang w:eastAsia="lt-LT"/>
              </w:rPr>
              <w:t xml:space="preserve"> 8 straipsnyje?</w:t>
            </w:r>
          </w:p>
        </w:tc>
        <w:tc>
          <w:tcPr>
            <w:tcW w:w="945" w:type="dxa"/>
            <w:tcBorders>
              <w:top w:val="single" w:sz="6" w:space="0" w:color="auto"/>
              <w:left w:val="single" w:sz="6" w:space="0" w:color="auto"/>
              <w:bottom w:val="single" w:sz="6" w:space="0" w:color="auto"/>
              <w:right w:val="single" w:sz="6" w:space="0" w:color="auto"/>
            </w:tcBorders>
          </w:tcPr>
          <w:p w14:paraId="0105E838" w14:textId="77777777" w:rsidR="00485716" w:rsidRDefault="00273E27">
            <w:pPr>
              <w:spacing w:line="276" w:lineRule="auto"/>
              <w:rPr>
                <w:szCs w:val="24"/>
              </w:rPr>
            </w:pPr>
            <w:r>
              <w:rPr>
                <w:szCs w:val="24"/>
              </w:rPr>
              <w:t>□ Taip</w:t>
            </w:r>
          </w:p>
        </w:tc>
        <w:tc>
          <w:tcPr>
            <w:tcW w:w="1020" w:type="dxa"/>
            <w:gridSpan w:val="3"/>
            <w:tcBorders>
              <w:top w:val="single" w:sz="6" w:space="0" w:color="auto"/>
              <w:left w:val="single" w:sz="6" w:space="0" w:color="auto"/>
              <w:bottom w:val="single" w:sz="6" w:space="0" w:color="auto"/>
              <w:right w:val="single" w:sz="6" w:space="0" w:color="auto"/>
            </w:tcBorders>
          </w:tcPr>
          <w:p w14:paraId="5AAA4AB0" w14:textId="77777777" w:rsidR="00485716" w:rsidRDefault="00273E27">
            <w:pPr>
              <w:jc w:val="both"/>
              <w:rPr>
                <w:szCs w:val="24"/>
              </w:rPr>
            </w:pPr>
            <w:r>
              <w:rPr>
                <w:szCs w:val="24"/>
              </w:rPr>
              <w:t xml:space="preserve">□ Ne </w:t>
            </w:r>
          </w:p>
        </w:tc>
        <w:tc>
          <w:tcPr>
            <w:tcW w:w="4980" w:type="dxa"/>
            <w:gridSpan w:val="2"/>
            <w:tcBorders>
              <w:top w:val="single" w:sz="6" w:space="0" w:color="auto"/>
              <w:left w:val="single" w:sz="6" w:space="0" w:color="auto"/>
              <w:bottom w:val="single" w:sz="6" w:space="0" w:color="auto"/>
              <w:right w:val="single" w:sz="6" w:space="0" w:color="auto"/>
            </w:tcBorders>
          </w:tcPr>
          <w:p w14:paraId="5200316E" w14:textId="77777777" w:rsidR="00485716" w:rsidRDefault="00485716">
            <w:pPr>
              <w:jc w:val="both"/>
              <w:rPr>
                <w:szCs w:val="24"/>
              </w:rPr>
            </w:pPr>
          </w:p>
        </w:tc>
      </w:tr>
      <w:tr w:rsidR="00485716" w14:paraId="31BEC382" w14:textId="77777777">
        <w:tc>
          <w:tcPr>
            <w:tcW w:w="765" w:type="dxa"/>
            <w:tcBorders>
              <w:top w:val="single" w:sz="6" w:space="0" w:color="auto"/>
              <w:left w:val="single" w:sz="6" w:space="0" w:color="auto"/>
              <w:bottom w:val="single" w:sz="6" w:space="0" w:color="auto"/>
              <w:right w:val="single" w:sz="6" w:space="0" w:color="auto"/>
            </w:tcBorders>
          </w:tcPr>
          <w:p w14:paraId="681A9DBC" w14:textId="77777777" w:rsidR="00485716" w:rsidRDefault="00273E27">
            <w:pPr>
              <w:ind w:right="-465"/>
              <w:jc w:val="both"/>
              <w:rPr>
                <w:szCs w:val="24"/>
              </w:rPr>
            </w:pPr>
            <w:r>
              <w:rPr>
                <w:szCs w:val="24"/>
              </w:rPr>
              <w:lastRenderedPageBreak/>
              <w:t>3.10.</w:t>
            </w:r>
          </w:p>
        </w:tc>
        <w:tc>
          <w:tcPr>
            <w:tcW w:w="7024" w:type="dxa"/>
            <w:gridSpan w:val="2"/>
            <w:tcBorders>
              <w:top w:val="single" w:sz="6" w:space="0" w:color="auto"/>
              <w:left w:val="single" w:sz="6" w:space="0" w:color="auto"/>
              <w:bottom w:val="single" w:sz="6" w:space="0" w:color="auto"/>
              <w:right w:val="single" w:sz="6" w:space="0" w:color="auto"/>
            </w:tcBorders>
          </w:tcPr>
          <w:p w14:paraId="6022126E" w14:textId="77777777" w:rsidR="00485716" w:rsidRDefault="00273E27">
            <w:pPr>
              <w:jc w:val="both"/>
              <w:rPr>
                <w:szCs w:val="24"/>
              </w:rPr>
            </w:pPr>
            <w:r>
              <w:rPr>
                <w:rFonts w:eastAsia="Calibri"/>
                <w:bCs/>
                <w:szCs w:val="24"/>
                <w:lang w:eastAsia="lt-LT"/>
              </w:rPr>
              <w:t xml:space="preserve">Ar </w:t>
            </w:r>
            <w:r>
              <w:rPr>
                <w:rFonts w:eastAsia="Calibri"/>
                <w:szCs w:val="24"/>
                <w:lang w:eastAsia="lt-LT"/>
              </w:rPr>
              <w:t>valstybės pagalbos atitinka R</w:t>
            </w:r>
            <w:r>
              <w:t>eglamento (ES) Nr. 651/2014</w:t>
            </w:r>
            <w:r>
              <w:rPr>
                <w:rFonts w:eastAsia="Calibri"/>
                <w:szCs w:val="24"/>
                <w:lang w:eastAsia="lt-LT"/>
              </w:rPr>
              <w:t xml:space="preserve"> 36a straipsnio nuostatas?</w:t>
            </w:r>
          </w:p>
        </w:tc>
        <w:tc>
          <w:tcPr>
            <w:tcW w:w="945" w:type="dxa"/>
            <w:tcBorders>
              <w:top w:val="single" w:sz="6" w:space="0" w:color="auto"/>
              <w:left w:val="single" w:sz="6" w:space="0" w:color="auto"/>
              <w:bottom w:val="single" w:sz="6" w:space="0" w:color="auto"/>
              <w:right w:val="single" w:sz="6" w:space="0" w:color="auto"/>
            </w:tcBorders>
          </w:tcPr>
          <w:p w14:paraId="1629FDB3" w14:textId="77777777" w:rsidR="00485716" w:rsidRDefault="00273E27">
            <w:pPr>
              <w:spacing w:line="276" w:lineRule="auto"/>
              <w:rPr>
                <w:szCs w:val="24"/>
              </w:rPr>
            </w:pPr>
            <w:r>
              <w:rPr>
                <w:szCs w:val="24"/>
              </w:rPr>
              <w:t>□ Taip</w:t>
            </w:r>
          </w:p>
        </w:tc>
        <w:tc>
          <w:tcPr>
            <w:tcW w:w="1020" w:type="dxa"/>
            <w:gridSpan w:val="3"/>
            <w:tcBorders>
              <w:top w:val="single" w:sz="6" w:space="0" w:color="auto"/>
              <w:left w:val="single" w:sz="6" w:space="0" w:color="auto"/>
              <w:bottom w:val="single" w:sz="6" w:space="0" w:color="auto"/>
              <w:right w:val="single" w:sz="6" w:space="0" w:color="auto"/>
            </w:tcBorders>
          </w:tcPr>
          <w:p w14:paraId="63F6798B" w14:textId="77777777" w:rsidR="00485716" w:rsidRDefault="00273E27">
            <w:pPr>
              <w:jc w:val="both"/>
              <w:rPr>
                <w:szCs w:val="24"/>
              </w:rPr>
            </w:pPr>
            <w:r>
              <w:rPr>
                <w:szCs w:val="24"/>
              </w:rPr>
              <w:t xml:space="preserve">□ Ne </w:t>
            </w:r>
          </w:p>
        </w:tc>
        <w:tc>
          <w:tcPr>
            <w:tcW w:w="4980" w:type="dxa"/>
            <w:gridSpan w:val="2"/>
            <w:tcBorders>
              <w:top w:val="single" w:sz="6" w:space="0" w:color="auto"/>
              <w:left w:val="single" w:sz="6" w:space="0" w:color="auto"/>
              <w:bottom w:val="single" w:sz="6" w:space="0" w:color="auto"/>
              <w:right w:val="single" w:sz="6" w:space="0" w:color="auto"/>
            </w:tcBorders>
          </w:tcPr>
          <w:p w14:paraId="01A1A836" w14:textId="77777777" w:rsidR="00485716" w:rsidRDefault="00485716">
            <w:pPr>
              <w:jc w:val="both"/>
              <w:rPr>
                <w:szCs w:val="24"/>
              </w:rPr>
            </w:pPr>
          </w:p>
        </w:tc>
      </w:tr>
      <w:tr w:rsidR="00485716" w14:paraId="243304F7" w14:textId="77777777">
        <w:tc>
          <w:tcPr>
            <w:tcW w:w="14734" w:type="dxa"/>
            <w:gridSpan w:val="9"/>
            <w:tcBorders>
              <w:top w:val="single" w:sz="6" w:space="0" w:color="auto"/>
              <w:left w:val="single" w:sz="6" w:space="0" w:color="auto"/>
              <w:bottom w:val="single" w:sz="6" w:space="0" w:color="auto"/>
              <w:right w:val="single" w:sz="6" w:space="0" w:color="auto"/>
            </w:tcBorders>
          </w:tcPr>
          <w:p w14:paraId="7E5F2C4A" w14:textId="77777777" w:rsidR="00485716" w:rsidRDefault="00273E27">
            <w:pPr>
              <w:jc w:val="both"/>
              <w:rPr>
                <w:szCs w:val="24"/>
              </w:rPr>
            </w:pPr>
            <w:r>
              <w:rPr>
                <w:rFonts w:eastAsia="Calibri"/>
                <w:b/>
                <w:bCs/>
                <w:szCs w:val="24"/>
                <w:lang w:eastAsia="lt-LT"/>
              </w:rPr>
              <w:t>Valstybės pagalbos atitikties vertinimas</w:t>
            </w:r>
          </w:p>
        </w:tc>
      </w:tr>
      <w:tr w:rsidR="00485716" w14:paraId="60D81687" w14:textId="77777777">
        <w:tc>
          <w:tcPr>
            <w:tcW w:w="765" w:type="dxa"/>
            <w:tcBorders>
              <w:top w:val="single" w:sz="6" w:space="0" w:color="auto"/>
              <w:left w:val="single" w:sz="6" w:space="0" w:color="auto"/>
              <w:bottom w:val="single" w:sz="6" w:space="0" w:color="auto"/>
              <w:right w:val="single" w:sz="6" w:space="0" w:color="auto"/>
            </w:tcBorders>
          </w:tcPr>
          <w:p w14:paraId="54522D27" w14:textId="77777777" w:rsidR="00485716" w:rsidRDefault="00273E27">
            <w:pPr>
              <w:ind w:right="-465"/>
              <w:jc w:val="both"/>
              <w:rPr>
                <w:szCs w:val="24"/>
              </w:rPr>
            </w:pPr>
            <w:r>
              <w:rPr>
                <w:szCs w:val="24"/>
              </w:rPr>
              <w:t>3.11.</w:t>
            </w:r>
          </w:p>
        </w:tc>
        <w:tc>
          <w:tcPr>
            <w:tcW w:w="7024" w:type="dxa"/>
            <w:gridSpan w:val="2"/>
            <w:tcBorders>
              <w:top w:val="single" w:sz="6" w:space="0" w:color="auto"/>
              <w:left w:val="single" w:sz="6" w:space="0" w:color="auto"/>
              <w:bottom w:val="single" w:sz="6" w:space="0" w:color="auto"/>
              <w:right w:val="single" w:sz="6" w:space="0" w:color="auto"/>
            </w:tcBorders>
          </w:tcPr>
          <w:p w14:paraId="6F9B1E90" w14:textId="77777777" w:rsidR="00485716" w:rsidRDefault="00273E27">
            <w:pPr>
              <w:jc w:val="both"/>
              <w:rPr>
                <w:rFonts w:eastAsia="Calibri"/>
                <w:lang w:eastAsia="lt-LT"/>
              </w:rPr>
            </w:pPr>
            <w:r>
              <w:rPr>
                <w:rFonts w:eastAsia="Calibri"/>
                <w:szCs w:val="24"/>
                <w:lang w:eastAsia="lt-LT"/>
              </w:rPr>
              <w:t>Ar teikiama valstybės pagalba atitinka Reglamento (ES) Nr. 651/2014 nuostatas?</w:t>
            </w:r>
          </w:p>
        </w:tc>
        <w:tc>
          <w:tcPr>
            <w:tcW w:w="945" w:type="dxa"/>
            <w:tcBorders>
              <w:top w:val="single" w:sz="6" w:space="0" w:color="auto"/>
              <w:left w:val="single" w:sz="6" w:space="0" w:color="auto"/>
              <w:bottom w:val="single" w:sz="6" w:space="0" w:color="auto"/>
              <w:right w:val="single" w:sz="6" w:space="0" w:color="auto"/>
            </w:tcBorders>
          </w:tcPr>
          <w:p w14:paraId="2CF05BA5" w14:textId="77777777" w:rsidR="00485716" w:rsidRDefault="00273E27">
            <w:pPr>
              <w:spacing w:line="276" w:lineRule="auto"/>
              <w:rPr>
                <w:szCs w:val="24"/>
              </w:rPr>
            </w:pPr>
            <w:r>
              <w:rPr>
                <w:szCs w:val="24"/>
              </w:rPr>
              <w:t>□ Taip</w:t>
            </w:r>
          </w:p>
        </w:tc>
        <w:tc>
          <w:tcPr>
            <w:tcW w:w="1020" w:type="dxa"/>
            <w:gridSpan w:val="3"/>
            <w:tcBorders>
              <w:top w:val="single" w:sz="6" w:space="0" w:color="auto"/>
              <w:left w:val="single" w:sz="6" w:space="0" w:color="auto"/>
              <w:bottom w:val="single" w:sz="6" w:space="0" w:color="auto"/>
              <w:right w:val="single" w:sz="6" w:space="0" w:color="auto"/>
            </w:tcBorders>
          </w:tcPr>
          <w:p w14:paraId="1BF8A0FC" w14:textId="77777777" w:rsidR="00485716" w:rsidRDefault="00273E27">
            <w:pPr>
              <w:jc w:val="both"/>
              <w:rPr>
                <w:szCs w:val="24"/>
              </w:rPr>
            </w:pPr>
            <w:r>
              <w:rPr>
                <w:szCs w:val="24"/>
              </w:rPr>
              <w:t>□ Ne</w:t>
            </w:r>
          </w:p>
        </w:tc>
        <w:tc>
          <w:tcPr>
            <w:tcW w:w="4980" w:type="dxa"/>
            <w:gridSpan w:val="2"/>
            <w:tcBorders>
              <w:top w:val="single" w:sz="6" w:space="0" w:color="auto"/>
              <w:left w:val="single" w:sz="6" w:space="0" w:color="auto"/>
              <w:bottom w:val="single" w:sz="6" w:space="0" w:color="auto"/>
              <w:right w:val="single" w:sz="6" w:space="0" w:color="auto"/>
            </w:tcBorders>
          </w:tcPr>
          <w:p w14:paraId="2C44A76F" w14:textId="77777777" w:rsidR="00485716" w:rsidRDefault="00485716">
            <w:pPr>
              <w:jc w:val="both"/>
              <w:rPr>
                <w:szCs w:val="24"/>
              </w:rPr>
            </w:pPr>
          </w:p>
        </w:tc>
      </w:tr>
      <w:tr w:rsidR="00485716" w14:paraId="53474C9B" w14:textId="77777777">
        <w:trPr>
          <w:gridAfter w:val="1"/>
          <w:wAfter w:w="344" w:type="dxa"/>
          <w:trHeight w:val="315"/>
        </w:trPr>
        <w:tc>
          <w:tcPr>
            <w:tcW w:w="5100" w:type="dxa"/>
            <w:gridSpan w:val="2"/>
            <w:tcBorders>
              <w:top w:val="single" w:sz="6" w:space="0" w:color="auto"/>
              <w:left w:val="nil"/>
              <w:bottom w:val="nil"/>
              <w:right w:val="nil"/>
            </w:tcBorders>
          </w:tcPr>
          <w:p w14:paraId="5CE524A3" w14:textId="77777777" w:rsidR="00485716" w:rsidRDefault="00485716">
            <w:pPr>
              <w:rPr>
                <w:szCs w:val="24"/>
              </w:rPr>
            </w:pPr>
          </w:p>
          <w:p w14:paraId="5DBB7B1F" w14:textId="77777777" w:rsidR="00485716" w:rsidRDefault="00273E27">
            <w:pPr>
              <w:rPr>
                <w:szCs w:val="24"/>
              </w:rPr>
            </w:pPr>
            <w:r>
              <w:rPr>
                <w:i/>
                <w:iCs/>
                <w:szCs w:val="24"/>
              </w:rPr>
              <w:t xml:space="preserve">______________________________________ </w:t>
            </w:r>
          </w:p>
          <w:p w14:paraId="7C6F4267" w14:textId="77777777" w:rsidR="00485716" w:rsidRDefault="00273E27">
            <w:pPr>
              <w:rPr>
                <w:szCs w:val="24"/>
              </w:rPr>
            </w:pPr>
            <w:r>
              <w:rPr>
                <w:i/>
                <w:iCs/>
                <w:szCs w:val="24"/>
              </w:rPr>
              <w:t xml:space="preserve">(vertintojas) </w:t>
            </w:r>
          </w:p>
        </w:tc>
        <w:tc>
          <w:tcPr>
            <w:tcW w:w="3800" w:type="dxa"/>
            <w:gridSpan w:val="3"/>
            <w:tcBorders>
              <w:top w:val="nil"/>
              <w:left w:val="nil"/>
              <w:bottom w:val="nil"/>
              <w:right w:val="nil"/>
            </w:tcBorders>
          </w:tcPr>
          <w:p w14:paraId="53536A12" w14:textId="77777777" w:rsidR="00485716" w:rsidRDefault="00485716">
            <w:pPr>
              <w:rPr>
                <w:szCs w:val="24"/>
              </w:rPr>
            </w:pPr>
          </w:p>
          <w:p w14:paraId="421909BC" w14:textId="77777777" w:rsidR="00485716" w:rsidRDefault="00273E27">
            <w:pPr>
              <w:rPr>
                <w:szCs w:val="24"/>
              </w:rPr>
            </w:pPr>
            <w:r>
              <w:rPr>
                <w:i/>
                <w:iCs/>
                <w:szCs w:val="24"/>
              </w:rPr>
              <w:t xml:space="preserve">____________ </w:t>
            </w:r>
          </w:p>
          <w:p w14:paraId="559738ED" w14:textId="77777777" w:rsidR="00485716" w:rsidRDefault="00273E27">
            <w:pPr>
              <w:rPr>
                <w:szCs w:val="24"/>
              </w:rPr>
            </w:pPr>
            <w:r>
              <w:rPr>
                <w:i/>
                <w:iCs/>
                <w:szCs w:val="24"/>
              </w:rPr>
              <w:t xml:space="preserve">(parašas) </w:t>
            </w:r>
          </w:p>
        </w:tc>
        <w:tc>
          <w:tcPr>
            <w:tcW w:w="5490" w:type="dxa"/>
            <w:gridSpan w:val="3"/>
            <w:tcBorders>
              <w:top w:val="nil"/>
              <w:left w:val="nil"/>
              <w:bottom w:val="nil"/>
              <w:right w:val="nil"/>
            </w:tcBorders>
          </w:tcPr>
          <w:p w14:paraId="256FCED1" w14:textId="77777777" w:rsidR="00485716" w:rsidRDefault="00485716">
            <w:pPr>
              <w:rPr>
                <w:szCs w:val="24"/>
              </w:rPr>
            </w:pPr>
          </w:p>
          <w:p w14:paraId="4D5DDEEC" w14:textId="77777777" w:rsidR="00485716" w:rsidRDefault="00273E27">
            <w:pPr>
              <w:rPr>
                <w:szCs w:val="24"/>
              </w:rPr>
            </w:pPr>
            <w:r>
              <w:rPr>
                <w:i/>
                <w:iCs/>
                <w:szCs w:val="24"/>
              </w:rPr>
              <w:t xml:space="preserve">____________ </w:t>
            </w:r>
          </w:p>
          <w:p w14:paraId="253DEA03" w14:textId="77777777" w:rsidR="00485716" w:rsidRDefault="00273E27">
            <w:pPr>
              <w:rPr>
                <w:szCs w:val="24"/>
              </w:rPr>
            </w:pPr>
            <w:r>
              <w:rPr>
                <w:i/>
                <w:iCs/>
                <w:szCs w:val="24"/>
              </w:rPr>
              <w:t xml:space="preserve">(data) </w:t>
            </w:r>
          </w:p>
        </w:tc>
      </w:tr>
      <w:tr w:rsidR="00485716" w14:paraId="180DAAD6" w14:textId="77777777">
        <w:trPr>
          <w:gridAfter w:val="1"/>
          <w:wAfter w:w="344" w:type="dxa"/>
          <w:trHeight w:val="735"/>
        </w:trPr>
        <w:tc>
          <w:tcPr>
            <w:tcW w:w="14390" w:type="dxa"/>
            <w:gridSpan w:val="8"/>
            <w:tcBorders>
              <w:top w:val="nil"/>
              <w:left w:val="nil"/>
              <w:bottom w:val="nil"/>
              <w:right w:val="nil"/>
            </w:tcBorders>
          </w:tcPr>
          <w:p w14:paraId="7152B624" w14:textId="77777777" w:rsidR="00485716" w:rsidRDefault="00485716">
            <w:pPr>
              <w:rPr>
                <w:szCs w:val="24"/>
              </w:rPr>
            </w:pPr>
          </w:p>
          <w:p w14:paraId="0D226922" w14:textId="77777777" w:rsidR="00485716" w:rsidRDefault="00273E27">
            <w:pPr>
              <w:rPr>
                <w:szCs w:val="24"/>
              </w:rPr>
            </w:pPr>
            <w:r>
              <w:rPr>
                <w:b/>
                <w:bCs/>
                <w:szCs w:val="24"/>
              </w:rPr>
              <w:t xml:space="preserve">Patikros peržiūra: </w:t>
            </w:r>
          </w:p>
          <w:p w14:paraId="7C28001C" w14:textId="77777777" w:rsidR="00485716" w:rsidRDefault="00273E27">
            <w:pPr>
              <w:rPr>
                <w:szCs w:val="24"/>
              </w:rPr>
            </w:pPr>
            <w:r>
              <w:rPr>
                <w:szCs w:val="24"/>
              </w:rPr>
              <w:t xml:space="preserve">□ Vertintojo išvadai pritarti </w:t>
            </w:r>
          </w:p>
          <w:p w14:paraId="25992C4F" w14:textId="77777777" w:rsidR="00485716" w:rsidRDefault="00273E27">
            <w:pPr>
              <w:rPr>
                <w:szCs w:val="24"/>
              </w:rPr>
            </w:pPr>
            <w:r>
              <w:rPr>
                <w:szCs w:val="24"/>
              </w:rPr>
              <w:t xml:space="preserve">□ Vertintojo išvadai nepritarti </w:t>
            </w:r>
          </w:p>
          <w:p w14:paraId="0045892D" w14:textId="77777777" w:rsidR="00485716" w:rsidRDefault="00273E27">
            <w:pPr>
              <w:rPr>
                <w:szCs w:val="24"/>
              </w:rPr>
            </w:pPr>
            <w:r>
              <w:rPr>
                <w:i/>
                <w:iCs/>
                <w:szCs w:val="24"/>
              </w:rPr>
              <w:t>Pastabos:_______________________________________________________________________</w:t>
            </w:r>
          </w:p>
          <w:p w14:paraId="06AC38DA" w14:textId="77777777" w:rsidR="00485716" w:rsidRDefault="00485716">
            <w:pPr>
              <w:ind w:firstLine="62"/>
              <w:rPr>
                <w:szCs w:val="24"/>
              </w:rPr>
            </w:pPr>
          </w:p>
        </w:tc>
      </w:tr>
      <w:tr w:rsidR="00485716" w14:paraId="42AC65FB" w14:textId="77777777">
        <w:trPr>
          <w:gridAfter w:val="1"/>
          <w:wAfter w:w="344" w:type="dxa"/>
          <w:trHeight w:val="240"/>
        </w:trPr>
        <w:tc>
          <w:tcPr>
            <w:tcW w:w="5100" w:type="dxa"/>
            <w:gridSpan w:val="2"/>
            <w:tcBorders>
              <w:top w:val="nil"/>
              <w:left w:val="nil"/>
              <w:bottom w:val="nil"/>
              <w:right w:val="nil"/>
            </w:tcBorders>
          </w:tcPr>
          <w:p w14:paraId="5F5F98F7" w14:textId="77777777" w:rsidR="00485716" w:rsidRDefault="00273E27">
            <w:pPr>
              <w:rPr>
                <w:szCs w:val="24"/>
              </w:rPr>
            </w:pPr>
            <w:r>
              <w:rPr>
                <w:i/>
                <w:iCs/>
                <w:szCs w:val="24"/>
              </w:rPr>
              <w:t xml:space="preserve">______________________________________ </w:t>
            </w:r>
          </w:p>
          <w:p w14:paraId="717C2663" w14:textId="77777777" w:rsidR="00485716" w:rsidRDefault="00273E27">
            <w:pPr>
              <w:rPr>
                <w:szCs w:val="24"/>
              </w:rPr>
            </w:pPr>
            <w:r>
              <w:rPr>
                <w:i/>
                <w:iCs/>
                <w:szCs w:val="24"/>
              </w:rPr>
              <w:t xml:space="preserve">(vertintojo tiesioginis vadovas) </w:t>
            </w:r>
          </w:p>
        </w:tc>
        <w:tc>
          <w:tcPr>
            <w:tcW w:w="3800" w:type="dxa"/>
            <w:gridSpan w:val="3"/>
            <w:tcBorders>
              <w:top w:val="nil"/>
              <w:left w:val="nil"/>
              <w:bottom w:val="nil"/>
              <w:right w:val="nil"/>
            </w:tcBorders>
          </w:tcPr>
          <w:p w14:paraId="42D9A6A4" w14:textId="77777777" w:rsidR="00485716" w:rsidRDefault="00273E27">
            <w:pPr>
              <w:rPr>
                <w:szCs w:val="24"/>
              </w:rPr>
            </w:pPr>
            <w:r>
              <w:rPr>
                <w:i/>
                <w:iCs/>
                <w:szCs w:val="24"/>
              </w:rPr>
              <w:t xml:space="preserve">____________ </w:t>
            </w:r>
          </w:p>
          <w:p w14:paraId="32DAB307" w14:textId="77777777" w:rsidR="00485716" w:rsidRDefault="00273E27">
            <w:pPr>
              <w:rPr>
                <w:szCs w:val="24"/>
              </w:rPr>
            </w:pPr>
            <w:r>
              <w:rPr>
                <w:i/>
                <w:iCs/>
                <w:szCs w:val="24"/>
              </w:rPr>
              <w:t xml:space="preserve">(parašas) </w:t>
            </w:r>
          </w:p>
        </w:tc>
        <w:tc>
          <w:tcPr>
            <w:tcW w:w="5490" w:type="dxa"/>
            <w:gridSpan w:val="3"/>
            <w:tcBorders>
              <w:top w:val="nil"/>
              <w:left w:val="nil"/>
              <w:bottom w:val="nil"/>
              <w:right w:val="nil"/>
            </w:tcBorders>
          </w:tcPr>
          <w:p w14:paraId="0B12D808" w14:textId="77777777" w:rsidR="00485716" w:rsidRDefault="00273E27">
            <w:pPr>
              <w:rPr>
                <w:szCs w:val="24"/>
              </w:rPr>
            </w:pPr>
            <w:r>
              <w:rPr>
                <w:i/>
                <w:iCs/>
                <w:szCs w:val="24"/>
              </w:rPr>
              <w:t xml:space="preserve">____________ </w:t>
            </w:r>
          </w:p>
          <w:p w14:paraId="6CF65F21" w14:textId="77777777" w:rsidR="00485716" w:rsidRDefault="00273E27">
            <w:pPr>
              <w:rPr>
                <w:szCs w:val="24"/>
              </w:rPr>
            </w:pPr>
            <w:r>
              <w:rPr>
                <w:i/>
                <w:iCs/>
                <w:szCs w:val="24"/>
              </w:rPr>
              <w:t xml:space="preserve">(data) </w:t>
            </w:r>
          </w:p>
        </w:tc>
      </w:tr>
    </w:tbl>
    <w:p w14:paraId="6AD124B9" w14:textId="77777777" w:rsidR="00485716" w:rsidRDefault="00485716">
      <w:pPr>
        <w:spacing w:line="276" w:lineRule="auto"/>
        <w:rPr>
          <w:sz w:val="20"/>
        </w:rPr>
      </w:pPr>
    </w:p>
    <w:p w14:paraId="747AC58A" w14:textId="77777777" w:rsidR="00485716" w:rsidRDefault="00485716">
      <w:pPr>
        <w:rPr>
          <w:sz w:val="18"/>
          <w:szCs w:val="18"/>
        </w:rPr>
      </w:pPr>
    </w:p>
    <w:p w14:paraId="24F9348C" w14:textId="77777777" w:rsidR="00485716" w:rsidRDefault="00485716">
      <w:pPr>
        <w:rPr>
          <w:szCs w:val="24"/>
        </w:rPr>
      </w:pPr>
    </w:p>
    <w:sectPr w:rsidR="00485716">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46F70" w14:textId="77777777" w:rsidR="00A64BD3" w:rsidRDefault="00A64BD3">
      <w:pPr>
        <w:rPr>
          <w:sz w:val="22"/>
          <w:szCs w:val="22"/>
        </w:rPr>
      </w:pPr>
      <w:r>
        <w:rPr>
          <w:sz w:val="22"/>
          <w:szCs w:val="22"/>
        </w:rPr>
        <w:separator/>
      </w:r>
    </w:p>
  </w:endnote>
  <w:endnote w:type="continuationSeparator" w:id="0">
    <w:p w14:paraId="0FCCD5BC" w14:textId="77777777" w:rsidR="00A64BD3" w:rsidRDefault="00A64BD3">
      <w:pPr>
        <w:rPr>
          <w:sz w:val="22"/>
          <w:szCs w:val="22"/>
        </w:rPr>
      </w:pPr>
      <w:r>
        <w:rPr>
          <w:sz w:val="22"/>
          <w:szCs w:val="22"/>
        </w:rPr>
        <w:continuationSeparator/>
      </w:r>
    </w:p>
  </w:endnote>
  <w:endnote w:type="continuationNotice" w:id="1">
    <w:p w14:paraId="19EC12AB" w14:textId="77777777" w:rsidR="00A64BD3" w:rsidRDefault="00A64BD3">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6CB41" w14:textId="77777777" w:rsidR="00485716" w:rsidRDefault="0048571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B2524" w14:textId="77777777" w:rsidR="00485716" w:rsidRDefault="0048571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6CB3A" w14:textId="77777777" w:rsidR="00485716" w:rsidRDefault="00485716">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B2551" w14:textId="77777777" w:rsidR="00485716" w:rsidRDefault="00485716">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9B810" w14:textId="77777777" w:rsidR="00485716" w:rsidRDefault="00485716">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94215" w14:textId="77777777" w:rsidR="00485716" w:rsidRDefault="0048571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9E50A" w14:textId="77777777" w:rsidR="00A64BD3" w:rsidRDefault="00A64BD3">
      <w:pPr>
        <w:rPr>
          <w:sz w:val="22"/>
          <w:szCs w:val="22"/>
        </w:rPr>
      </w:pPr>
      <w:r>
        <w:rPr>
          <w:sz w:val="22"/>
          <w:szCs w:val="22"/>
        </w:rPr>
        <w:separator/>
      </w:r>
    </w:p>
  </w:footnote>
  <w:footnote w:type="continuationSeparator" w:id="0">
    <w:p w14:paraId="37A6DB86" w14:textId="77777777" w:rsidR="00A64BD3" w:rsidRDefault="00A64BD3">
      <w:pPr>
        <w:rPr>
          <w:sz w:val="22"/>
          <w:szCs w:val="22"/>
        </w:rPr>
      </w:pPr>
      <w:r>
        <w:rPr>
          <w:sz w:val="22"/>
          <w:szCs w:val="22"/>
        </w:rPr>
        <w:continuationSeparator/>
      </w:r>
    </w:p>
  </w:footnote>
  <w:footnote w:type="continuationNotice" w:id="1">
    <w:p w14:paraId="1D05AC8E" w14:textId="77777777" w:rsidR="00A64BD3" w:rsidRDefault="00A64BD3">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95938" w14:textId="77777777" w:rsidR="00485716" w:rsidRDefault="0048571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23229" w14:textId="77777777" w:rsidR="00485716" w:rsidRDefault="00273E27">
    <w:pPr>
      <w:tabs>
        <w:tab w:val="center" w:pos="4819"/>
        <w:tab w:val="right" w:pos="9638"/>
      </w:tabs>
      <w:jc w:val="center"/>
    </w:pPr>
    <w:r>
      <w:fldChar w:fldCharType="begin"/>
    </w:r>
    <w:r>
      <w:instrText>PAGE   \* MERGEFORMAT</w:instrText>
    </w:r>
    <w:r>
      <w:fldChar w:fldCharType="separate"/>
    </w:r>
    <w:r w:rsidR="00643319">
      <w:rPr>
        <w:noProof/>
      </w:rPr>
      <w:t>2</w:t>
    </w:r>
    <w:r>
      <w:fldChar w:fldCharType="end"/>
    </w:r>
  </w:p>
  <w:p w14:paraId="024B10E9" w14:textId="77777777" w:rsidR="00485716" w:rsidRDefault="00485716">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C3FBE" w14:textId="77777777" w:rsidR="00485716" w:rsidRDefault="00485716">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FEF79" w14:textId="77777777" w:rsidR="00485716" w:rsidRDefault="00485716">
    <w:pPr>
      <w:tabs>
        <w:tab w:val="center" w:pos="4819"/>
        <w:tab w:val="right" w:pos="9638"/>
      </w:tabs>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F123" w14:textId="77777777" w:rsidR="00485716" w:rsidRDefault="00273E27">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643319">
      <w:rPr>
        <w:noProof/>
        <w:szCs w:val="22"/>
      </w:rPr>
      <w:t>4</w:t>
    </w:r>
    <w:r>
      <w:rPr>
        <w:szCs w:val="22"/>
      </w:rPr>
      <w:fldChar w:fldCharType="end"/>
    </w:r>
  </w:p>
  <w:p w14:paraId="2AC07DD8" w14:textId="77777777" w:rsidR="00485716" w:rsidRDefault="00485716">
    <w:pPr>
      <w:tabs>
        <w:tab w:val="center" w:pos="4819"/>
        <w:tab w:val="right" w:pos="9638"/>
      </w:tabs>
      <w:jc w:val="right"/>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9A11F" w14:textId="77777777" w:rsidR="00485716" w:rsidRDefault="00485716">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63E41"/>
    <w:multiLevelType w:val="multilevel"/>
    <w:tmpl w:val="01AC5FB4"/>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85884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D1661"/>
    <w:rsid w:val="001E1B5D"/>
    <w:rsid w:val="00273E27"/>
    <w:rsid w:val="003F6C6E"/>
    <w:rsid w:val="0045060C"/>
    <w:rsid w:val="00485716"/>
    <w:rsid w:val="00643319"/>
    <w:rsid w:val="00807B02"/>
    <w:rsid w:val="00A361B0"/>
    <w:rsid w:val="00A64BD3"/>
    <w:rsid w:val="00B21005"/>
    <w:rsid w:val="00B349F7"/>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48854"/>
  <w15:docId w15:val="{C795019F-7A42-4049-B2D8-D9ABC307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qFormat/>
    <w:rsid w:val="00643319"/>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locked/>
    <w:rsid w:val="00643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66486460">
      <w:bodyDiv w:val="1"/>
      <w:marLeft w:val="0"/>
      <w:marRight w:val="0"/>
      <w:marTop w:val="0"/>
      <w:marBottom w:val="0"/>
      <w:divBdr>
        <w:top w:val="none" w:sz="0" w:space="0" w:color="auto"/>
        <w:left w:val="none" w:sz="0" w:space="0" w:color="auto"/>
        <w:bottom w:val="none" w:sz="0" w:space="0" w:color="auto"/>
        <w:right w:val="none" w:sz="0" w:space="0" w:color="auto"/>
      </w:divBdr>
    </w:div>
    <w:div w:id="193733554">
      <w:bodyDiv w:val="1"/>
      <w:marLeft w:val="0"/>
      <w:marRight w:val="0"/>
      <w:marTop w:val="0"/>
      <w:marBottom w:val="0"/>
      <w:divBdr>
        <w:top w:val="none" w:sz="0" w:space="0" w:color="auto"/>
        <w:left w:val="none" w:sz="0" w:space="0" w:color="auto"/>
        <w:bottom w:val="none" w:sz="0" w:space="0" w:color="auto"/>
        <w:right w:val="none" w:sz="0" w:space="0" w:color="auto"/>
      </w:divBdr>
      <w:divsChild>
        <w:div w:id="1782989836">
          <w:marLeft w:val="0"/>
          <w:marRight w:val="0"/>
          <w:marTop w:val="0"/>
          <w:marBottom w:val="0"/>
          <w:divBdr>
            <w:top w:val="none" w:sz="0" w:space="0" w:color="auto"/>
            <w:left w:val="none" w:sz="0" w:space="0" w:color="auto"/>
            <w:bottom w:val="none" w:sz="0" w:space="0" w:color="auto"/>
            <w:right w:val="none" w:sz="0" w:space="0" w:color="auto"/>
          </w:divBdr>
        </w:div>
      </w:divsChild>
    </w:div>
    <w:div w:id="5526650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480">
          <w:marLeft w:val="0"/>
          <w:marRight w:val="0"/>
          <w:marTop w:val="0"/>
          <w:marBottom w:val="0"/>
          <w:divBdr>
            <w:top w:val="none" w:sz="0" w:space="0" w:color="auto"/>
            <w:left w:val="none" w:sz="0" w:space="0" w:color="auto"/>
            <w:bottom w:val="none" w:sz="0" w:space="0" w:color="auto"/>
            <w:right w:val="none" w:sz="0" w:space="0" w:color="auto"/>
          </w:divBdr>
        </w:div>
      </w:divsChild>
    </w:div>
    <w:div w:id="739714603">
      <w:bodyDiv w:val="1"/>
      <w:marLeft w:val="0"/>
      <w:marRight w:val="0"/>
      <w:marTop w:val="0"/>
      <w:marBottom w:val="0"/>
      <w:divBdr>
        <w:top w:val="none" w:sz="0" w:space="0" w:color="auto"/>
        <w:left w:val="none" w:sz="0" w:space="0" w:color="auto"/>
        <w:bottom w:val="none" w:sz="0" w:space="0" w:color="auto"/>
        <w:right w:val="none" w:sz="0" w:space="0" w:color="auto"/>
      </w:divBdr>
    </w:div>
    <w:div w:id="77379204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03969882">
      <w:bodyDiv w:val="1"/>
      <w:marLeft w:val="0"/>
      <w:marRight w:val="0"/>
      <w:marTop w:val="0"/>
      <w:marBottom w:val="0"/>
      <w:divBdr>
        <w:top w:val="none" w:sz="0" w:space="0" w:color="auto"/>
        <w:left w:val="none" w:sz="0" w:space="0" w:color="auto"/>
        <w:bottom w:val="none" w:sz="0" w:space="0" w:color="auto"/>
        <w:right w:val="none" w:sz="0" w:space="0" w:color="auto"/>
      </w:divBdr>
    </w:div>
    <w:div w:id="1113327663">
      <w:bodyDiv w:val="1"/>
      <w:marLeft w:val="0"/>
      <w:marRight w:val="0"/>
      <w:marTop w:val="0"/>
      <w:marBottom w:val="0"/>
      <w:divBdr>
        <w:top w:val="none" w:sz="0" w:space="0" w:color="auto"/>
        <w:left w:val="none" w:sz="0" w:space="0" w:color="auto"/>
        <w:bottom w:val="none" w:sz="0" w:space="0" w:color="auto"/>
        <w:right w:val="none" w:sz="0" w:space="0" w:color="auto"/>
      </w:divBdr>
    </w:div>
    <w:div w:id="1127507506">
      <w:bodyDiv w:val="1"/>
      <w:marLeft w:val="0"/>
      <w:marRight w:val="0"/>
      <w:marTop w:val="0"/>
      <w:marBottom w:val="0"/>
      <w:divBdr>
        <w:top w:val="none" w:sz="0" w:space="0" w:color="auto"/>
        <w:left w:val="none" w:sz="0" w:space="0" w:color="auto"/>
        <w:bottom w:val="none" w:sz="0" w:space="0" w:color="auto"/>
        <w:right w:val="none" w:sz="0" w:space="0" w:color="auto"/>
      </w:divBdr>
    </w:div>
    <w:div w:id="132855950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9518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B8F5F0799BE8924D80078979F0E5CF2C" ma:contentTypeVersion="12" ma:contentTypeDescription="Kurkite naują dokumentą." ma:contentTypeScope="" ma:versionID="ca4c4e1db1c226b7b72ed4f6835601af">
  <xsd:schema xmlns:xsd="http://www.w3.org/2001/XMLSchema" xmlns:xs="http://www.w3.org/2001/XMLSchema" xmlns:p="http://schemas.microsoft.com/office/2006/metadata/properties" xmlns:ns2="92642e4f-6070-4ede-b270-7e5a2bf0e8c4" xmlns:ns3="4bb7af4a-2cc7-4ca2-a7f5-3dadf20b5a64" targetNamespace="http://schemas.microsoft.com/office/2006/metadata/properties" ma:root="true" ma:fieldsID="493436d55a290e1633a32d92c184fba6" ns2:_="" ns3:_="">
    <xsd:import namespace="92642e4f-6070-4ede-b270-7e5a2bf0e8c4"/>
    <xsd:import namespace="4bb7af4a-2cc7-4ca2-a7f5-3dadf20b5a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42e4f-6070-4ede-b270-7e5a2bf0e8c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bfdd0346-0193-4025-b2d4-7dfaf8180f3a}" ma:internalName="TaxCatchAll" ma:showField="CatchAllData" ma:web="92642e4f-6070-4ede-b270-7e5a2bf0e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b7af4a-2cc7-4ca2-a7f5-3dadf20b5a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3fb0d60-6f00-4212-b98d-2e07146e5b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b7af4a-2cc7-4ca2-a7f5-3dadf20b5a64">
      <Terms xmlns="http://schemas.microsoft.com/office/infopath/2007/PartnerControls"/>
    </lcf76f155ced4ddcb4097134ff3c332f>
    <TaxCatchAll xmlns="92642e4f-6070-4ede-b270-7e5a2bf0e8c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E9008-9044-41F3-866D-A8BF984318DF}">
  <ds:schemaRefs>
    <ds:schemaRef ds:uri="http://schemas.openxmlformats.org/officeDocument/2006/bibliography"/>
  </ds:schemaRefs>
</ds:datastoreItem>
</file>

<file path=customXml/itemProps2.xml><?xml version="1.0" encoding="utf-8"?>
<ds:datastoreItem xmlns:ds="http://schemas.openxmlformats.org/officeDocument/2006/customXml" ds:itemID="{0678B6A2-8DA2-489A-A9AF-47FCC6098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42e4f-6070-4ede-b270-7e5a2bf0e8c4"/>
    <ds:schemaRef ds:uri="4bb7af4a-2cc7-4ca2-a7f5-3dadf20b5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4bb7af4a-2cc7-4ca2-a7f5-3dadf20b5a64"/>
    <ds:schemaRef ds:uri="92642e4f-6070-4ede-b270-7e5a2bf0e8c4"/>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9B6D268B-B89C-4124-86E6-1C5F5FED3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49872</Words>
  <Characters>28428</Characters>
  <Application>Microsoft Office Word</Application>
  <DocSecurity>0</DocSecurity>
  <Lines>236</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78144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Violeta Ražukaitė</cp:lastModifiedBy>
  <cp:revision>2</cp:revision>
  <cp:lastPrinted>2023-08-07T08:25:00Z</cp:lastPrinted>
  <dcterms:created xsi:type="dcterms:W3CDTF">2024-06-18T11:38:00Z</dcterms:created>
  <dcterms:modified xsi:type="dcterms:W3CDTF">2024-06-18T11:38:00Z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0x010100B8F5F0799BE8924D80078979F0E5CF2C</vt:lpwstr>
  </property>
  <property fmtid="{D5CDD505-2E9C-101B-9397-08002B2CF9AE}" pid="3" name="MediaServiceImageTags">
    <vt:lpwstr/>
  </property>
</Properties>
</file>