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84"/>
        <w:gridCol w:w="3061"/>
        <w:gridCol w:w="3544"/>
      </w:tblGrid>
      <w:tr w:rsidR="008C74C9" w:rsidRPr="004C6140" w:rsidTr="00351E97">
        <w:tc>
          <w:tcPr>
            <w:tcW w:w="3284" w:type="dxa"/>
            <w:shd w:val="clear" w:color="auto" w:fill="auto"/>
          </w:tcPr>
          <w:p w:rsidR="008C74C9" w:rsidRPr="004C6140" w:rsidRDefault="008C74C9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3061" w:type="dxa"/>
            <w:shd w:val="clear" w:color="auto" w:fill="auto"/>
          </w:tcPr>
          <w:p w:rsidR="008C74C9" w:rsidRPr="004C6140" w:rsidRDefault="008C74C9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3544" w:type="dxa"/>
            <w:shd w:val="clear" w:color="auto" w:fill="auto"/>
          </w:tcPr>
          <w:p w:rsidR="008C74C9" w:rsidRPr="004C6140" w:rsidRDefault="008C74C9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:rsidR="008C74C9" w:rsidRPr="004C6140" w:rsidRDefault="008C74C9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 w:rsidDel="000255F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="00336E2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Lazdijų miesto </w:t>
            </w: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vietos veiklos grupės </w:t>
            </w:r>
            <w:r w:rsidR="00336E2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>valdybos</w:t>
            </w:r>
          </w:p>
          <w:p w:rsidR="008C74C9" w:rsidRPr="004C6140" w:rsidRDefault="00336E25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2019 </w:t>
            </w:r>
            <w:r w:rsidR="008C74C9"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m.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>liepos 12</w:t>
            </w:r>
            <w:r w:rsidR="008C74C9"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d. sprendimu </w:t>
            </w:r>
            <w:r w:rsidR="00D4597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>(Protokolas Nr. 1)</w:t>
            </w:r>
            <w:r w:rsidR="008C74C9"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            </w:t>
            </w:r>
          </w:p>
          <w:p w:rsidR="008C74C9" w:rsidRPr="004C6140" w:rsidRDefault="008C74C9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p w:rsidR="008C74C9" w:rsidRPr="00376038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lightGray"/>
          <w:shd w:val="clear" w:color="auto" w:fill="FFFFFF"/>
          <w:lang w:eastAsia="lt-LT"/>
        </w:rPr>
      </w:pPr>
    </w:p>
    <w:p w:rsidR="008C74C9" w:rsidRPr="00376038" w:rsidRDefault="008C74C9" w:rsidP="008C74C9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lt-LT"/>
        </w:rPr>
      </w:pPr>
    </w:p>
    <w:p w:rsidR="008C74C9" w:rsidRPr="00376038" w:rsidRDefault="008C74C9" w:rsidP="008C74C9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lt-LT"/>
        </w:rPr>
      </w:pPr>
    </w:p>
    <w:p w:rsidR="008C74C9" w:rsidRPr="00610B81" w:rsidRDefault="008C74C9" w:rsidP="008C7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lt-LT"/>
        </w:rPr>
      </w:pPr>
      <w:r w:rsidRPr="00610B81">
        <w:rPr>
          <w:rFonts w:ascii="Times New Roman" w:hAnsi="Times New Roman"/>
          <w:b/>
          <w:sz w:val="24"/>
          <w:szCs w:val="24"/>
          <w:shd w:val="clear" w:color="auto" w:fill="FFFFFF"/>
          <w:lang w:eastAsia="lt-LT"/>
        </w:rPr>
        <w:t>LAZDIJŲ MIESTO VIETOS VEIKLOS GRUPĖ</w:t>
      </w:r>
    </w:p>
    <w:p w:rsidR="008C74C9" w:rsidRDefault="008C74C9" w:rsidP="008C7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lightGray"/>
          <w:shd w:val="clear" w:color="auto" w:fill="FFFFFF"/>
          <w:lang w:eastAsia="lt-LT"/>
        </w:rPr>
      </w:pPr>
    </w:p>
    <w:p w:rsidR="008C74C9" w:rsidRDefault="008C74C9" w:rsidP="008C74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 PROJEKTINIŲ PASIŪLYMŲ ATRANKOS KRITERIJAI</w:t>
      </w:r>
    </w:p>
    <w:p w:rsidR="008C74C9" w:rsidRDefault="008C74C9" w:rsidP="008C74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 KVIETIMĄ TEIKTI PROJEKTINIUS PASIŪLYMUS ATRANKAI</w:t>
      </w:r>
    </w:p>
    <w:p w:rsidR="008C74C9" w:rsidRDefault="008C74C9" w:rsidP="008C74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NR. </w:t>
      </w:r>
      <w:r w:rsidR="00BB196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1</w:t>
      </w:r>
      <w:bookmarkStart w:id="0" w:name="_GoBack"/>
      <w:bookmarkEnd w:id="0"/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:rsidTr="00351E97">
        <w:trPr>
          <w:trHeight w:val="20"/>
        </w:trPr>
        <w:tc>
          <w:tcPr>
            <w:tcW w:w="9781" w:type="dxa"/>
          </w:tcPr>
          <w:p w:rsidR="008C74C9" w:rsidRDefault="008C74C9" w:rsidP="00351E97">
            <w:pPr>
              <w:spacing w:line="256" w:lineRule="auto"/>
              <w:ind w:right="373"/>
              <w:rPr>
                <w:b/>
              </w:rPr>
            </w:pP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4111"/>
              <w:gridCol w:w="1984"/>
            </w:tblGrid>
            <w:tr w:rsidR="008C74C9" w:rsidRPr="0005331E" w:rsidTr="00351E97">
              <w:trPr>
                <w:trHeight w:val="647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hideMark/>
                </w:tcPr>
                <w:p w:rsidR="008C74C9" w:rsidRPr="0005331E" w:rsidRDefault="008C74C9" w:rsidP="00351E97">
                  <w:pPr>
                    <w:keepNext/>
                    <w:spacing w:line="256" w:lineRule="auto"/>
                    <w:jc w:val="center"/>
                    <w:rPr>
                      <w:rFonts w:ascii="Times New Roman" w:hAnsi="Times New Roman"/>
                      <w:b/>
                      <w:bCs/>
                      <w:caps/>
                      <w:sz w:val="20"/>
                      <w:szCs w:val="20"/>
                    </w:rPr>
                  </w:pPr>
                  <w:r w:rsidRPr="000533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Projektų atrankos kriterijaus (toliau – kriterijus) pavadinimas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8C74C9" w:rsidRPr="0005331E" w:rsidRDefault="008C74C9" w:rsidP="00351E97">
                  <w:pPr>
                    <w:keepNext/>
                    <w:spacing w:line="256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533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Kriterijaus vertinimo aspektai ir paaiškinimai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hideMark/>
                </w:tcPr>
                <w:p w:rsidR="008C74C9" w:rsidRPr="0005331E" w:rsidRDefault="008C74C9" w:rsidP="00351E97">
                  <w:pPr>
                    <w:keepNext/>
                    <w:spacing w:line="256" w:lineRule="auto"/>
                    <w:jc w:val="center"/>
                    <w:rPr>
                      <w:rFonts w:ascii="Times New Roman" w:hAnsi="Times New Roman"/>
                      <w:b/>
                      <w:bCs/>
                      <w:caps/>
                      <w:sz w:val="20"/>
                      <w:szCs w:val="20"/>
                    </w:rPr>
                  </w:pPr>
                  <w:r w:rsidRPr="000533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Didžiausias galimas kriterijaus balas</w:t>
                  </w:r>
                </w:p>
              </w:tc>
            </w:tr>
            <w:tr w:rsidR="008C74C9" w:rsidRPr="0005331E" w:rsidTr="00351E97">
              <w:trPr>
                <w:trHeight w:val="458"/>
              </w:trPr>
              <w:tc>
                <w:tcPr>
                  <w:tcW w:w="95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4C9" w:rsidRPr="0005331E" w:rsidRDefault="008C74C9" w:rsidP="008C74C9">
                  <w:pPr>
                    <w:pStyle w:val="Sraopastraip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aps/>
                      <w:sz w:val="20"/>
                      <w:szCs w:val="20"/>
                    </w:rPr>
                  </w:pPr>
                  <w:r w:rsidRPr="000533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BENDRIEJI PROJEKTŲ ATRANKOS KRITERIJAI*: </w:t>
                  </w:r>
                </w:p>
                <w:p w:rsidR="008C74C9" w:rsidRPr="0005331E" w:rsidRDefault="008C74C9" w:rsidP="00351E97">
                  <w:pPr>
                    <w:rPr>
                      <w:rFonts w:ascii="Times New Roman" w:hAnsi="Times New Roman"/>
                      <w:b/>
                      <w:bCs/>
                      <w:caps/>
                      <w:sz w:val="16"/>
                      <w:szCs w:val="16"/>
                    </w:rPr>
                  </w:pPr>
                  <w:r w:rsidRPr="0005331E">
                    <w:rPr>
                      <w:rFonts w:ascii="Times New Roman" w:hAnsi="Times New Roman"/>
                      <w:b/>
                      <w:bCs/>
                      <w:caps/>
                      <w:sz w:val="16"/>
                      <w:szCs w:val="16"/>
                    </w:rPr>
                    <w:t>*</w:t>
                  </w:r>
                  <w:r w:rsidRPr="0005331E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Šiuos visus kriterijus turi atitikti visi projektai.</w:t>
                  </w:r>
                  <w:r w:rsidRPr="0005331E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7E105C" w:rsidRPr="0005331E" w:rsidTr="00351E97">
              <w:trPr>
                <w:trHeight w:val="1056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1D140E" w:rsidP="007E105C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>
                    <w:rPr>
                      <w:rFonts w:ascii="Times New Roman" w:hAnsi="Times New Roman"/>
                      <w:lang w:eastAsia="lt-LT"/>
                    </w:rPr>
                    <w:t>1.</w:t>
                  </w:r>
                  <w:r w:rsidR="007E105C" w:rsidRPr="00B84A10">
                    <w:rPr>
                      <w:rFonts w:ascii="Times New Roman" w:hAnsi="Times New Roman"/>
                      <w:lang w:eastAsia="lt-LT"/>
                    </w:rPr>
                    <w:t xml:space="preserve">1. Pagrįsta vietos plėtros projektiniu pasiūlymu sprendžiama problema, nurodytos priežastys, lėmusios projekto įgyvendinimą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26DFC" w:rsidRDefault="00526DFC" w:rsidP="007E105C">
                  <w:pPr>
                    <w:spacing w:line="256" w:lineRule="auto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>Projektas pripažįstamas atitinkančiu vertinimo kriterijų, jei nurodyta:</w:t>
                  </w:r>
                </w:p>
                <w:p w:rsidR="00526DFC" w:rsidRDefault="00526DFC" w:rsidP="007E105C">
                  <w:pPr>
                    <w:spacing w:line="256" w:lineRule="auto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>1. Problema</w:t>
                  </w:r>
                </w:p>
                <w:p w:rsidR="007E105C" w:rsidRPr="0005331E" w:rsidRDefault="00526DFC" w:rsidP="007E105C">
                  <w:pPr>
                    <w:spacing w:line="256" w:lineRule="auto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2. Nurodytos priežastys, lėmusios projekto įgyvendinimą, pagrįstos statistiniais ar kitais duomenimis. 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E105C" w:rsidRPr="0005331E" w:rsidRDefault="007E105C" w:rsidP="007E105C">
                  <w:pPr>
                    <w:spacing w:line="256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</w:pPr>
                  <w:r w:rsidRPr="0005331E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Balai pagal bendruosius projektų atrankos kriterijus neskiriami</w:t>
                  </w:r>
                </w:p>
              </w:tc>
            </w:tr>
            <w:tr w:rsidR="007E105C" w:rsidRPr="0005331E" w:rsidTr="00351E97">
              <w:trPr>
                <w:trHeight w:val="845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1D140E" w:rsidP="007E105C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>
                    <w:rPr>
                      <w:rFonts w:ascii="Times New Roman" w:hAnsi="Times New Roman"/>
                      <w:lang w:eastAsia="lt-LT"/>
                    </w:rPr>
                    <w:t>1.</w:t>
                  </w:r>
                  <w:r w:rsidR="007E105C" w:rsidRPr="00B84A10">
                    <w:rPr>
                      <w:rFonts w:ascii="Times New Roman" w:hAnsi="Times New Roman"/>
                      <w:lang w:eastAsia="lt-LT"/>
                    </w:rPr>
                    <w:t>2. Pasirinktas tikslas (-ai), uždavinys (-ai) ir veikla (-</w:t>
                  </w:r>
                  <w:proofErr w:type="spellStart"/>
                  <w:r w:rsidR="007E105C" w:rsidRPr="00B84A10">
                    <w:rPr>
                      <w:rFonts w:ascii="Times New Roman" w:hAnsi="Times New Roman"/>
                      <w:lang w:eastAsia="lt-LT"/>
                    </w:rPr>
                    <w:t>os</w:t>
                  </w:r>
                  <w:proofErr w:type="spellEnd"/>
                  <w:r w:rsidR="007E105C" w:rsidRPr="00B84A10">
                    <w:rPr>
                      <w:rFonts w:ascii="Times New Roman" w:hAnsi="Times New Roman"/>
                      <w:lang w:eastAsia="lt-LT"/>
                    </w:rPr>
                    <w:t xml:space="preserve">) užtikrina </w:t>
                  </w:r>
                  <w:r w:rsidR="007E105C" w:rsidRPr="00B84A10">
                    <w:rPr>
                      <w:rFonts w:ascii="Times New Roman" w:hAnsi="Times New Roman"/>
                    </w:rPr>
                    <w:t xml:space="preserve">2016-2022 metų Lazdijų miesto vietos plėtros strategijos veiksmo (-ų) įgyvendinimą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526DFC" w:rsidRDefault="00526DFC" w:rsidP="007E105C">
                  <w:pPr>
                    <w:spacing w:line="256" w:lineRule="auto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>Projektas pripažįstamas atitinkančiu vertinimo kriterijų, jei nurodytas tikslas (ai), uždavinys (</w:t>
                  </w:r>
                  <w:proofErr w:type="spellStart"/>
                  <w:r w:rsidRPr="00526DF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>iai</w:t>
                  </w:r>
                  <w:proofErr w:type="spellEnd"/>
                  <w:r w:rsidRPr="00526DF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>) bei veikla (</w:t>
                  </w:r>
                  <w:proofErr w:type="spellStart"/>
                  <w:r w:rsidRPr="00526DF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>os</w:t>
                  </w:r>
                  <w:proofErr w:type="spellEnd"/>
                  <w:r w:rsidRPr="00526DF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) užtikrina </w:t>
                  </w:r>
                  <w:r w:rsidRPr="00526DFC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2016-2022 metų Lazdijų miesto vietos plėtros strategijos veiksmo (-ų) įgyvendinimą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E105C" w:rsidRPr="0005331E" w:rsidRDefault="007E105C" w:rsidP="007E105C">
                  <w:pPr>
                    <w:spacing w:line="256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7E105C" w:rsidRPr="0005331E" w:rsidTr="007E105C">
              <w:trPr>
                <w:trHeight w:val="774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E105C" w:rsidRPr="00B84A10" w:rsidRDefault="001D140E" w:rsidP="007E105C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>
                    <w:rPr>
                      <w:rFonts w:ascii="Times New Roman" w:hAnsi="Times New Roman"/>
                      <w:lang w:eastAsia="lt-LT"/>
                    </w:rPr>
                    <w:t>1.</w:t>
                  </w:r>
                  <w:r w:rsidR="007E105C" w:rsidRPr="00B84A10">
                    <w:rPr>
                      <w:rFonts w:ascii="Times New Roman" w:hAnsi="Times New Roman"/>
                      <w:lang w:eastAsia="lt-LT"/>
                    </w:rPr>
                    <w:t>3. Kiekvienam veiksmui nurodyti fiziniai rodikliai ir jų siektinos reikšmės yra realios ir pasiekiamos</w:t>
                  </w:r>
                  <w:r w:rsidR="00526DFC">
                    <w:rPr>
                      <w:rFonts w:ascii="Times New Roman" w:hAnsi="Times New Roman"/>
                      <w:lang w:eastAsia="lt-LT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E105C" w:rsidRPr="0005331E" w:rsidRDefault="00526DFC" w:rsidP="007E105C">
                  <w:pPr>
                    <w:spacing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>Projektas pripažįstamas atitinkančiu vertinimo kriterijų,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jei kiekvienam veiksmui priskirti fiziniai rodikliai, o jų reikšmės realios ir pasiekiamos.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E105C" w:rsidRPr="0005331E" w:rsidRDefault="007E105C" w:rsidP="007E105C">
                  <w:pPr>
                    <w:spacing w:line="256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7E105C" w:rsidRPr="0005331E" w:rsidTr="007E105C">
              <w:trPr>
                <w:trHeight w:val="1058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E105C" w:rsidRPr="00B84A10" w:rsidRDefault="001D140E" w:rsidP="007E105C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>
                    <w:rPr>
                      <w:rFonts w:ascii="Times New Roman" w:hAnsi="Times New Roman"/>
                      <w:lang w:eastAsia="lt-LT"/>
                    </w:rPr>
                    <w:t>1.</w:t>
                  </w:r>
                  <w:r w:rsidR="007E105C" w:rsidRPr="00B84A10">
                    <w:rPr>
                      <w:rFonts w:ascii="Times New Roman" w:hAnsi="Times New Roman"/>
                      <w:lang w:eastAsia="lt-LT"/>
                    </w:rPr>
                    <w:t>4. Vietos plėtros projektinio pasiūlymo įgyvendinimui prašomos skirti lėšos yra detalizuotos ir pagrįstos (</w:t>
                  </w:r>
                  <w:r w:rsidR="007E105C" w:rsidRPr="00B84A10">
                    <w:rPr>
                      <w:rFonts w:ascii="Times New Roman" w:hAnsi="Times New Roman"/>
                    </w:rPr>
                    <w:t>prašomos lėšos bus naudojamos taupiai ir efektyviai, sukuriama</w:t>
                  </w:r>
                  <w:r w:rsidR="007E105C" w:rsidRPr="00B84A10">
                    <w:rPr>
                      <w:rFonts w:ascii="Times New Roman" w:hAnsi="Times New Roman"/>
                      <w:lang w:eastAsia="lt-LT"/>
                    </w:rPr>
                    <w:t xml:space="preserve"> nauda atitinka sąnaudas, kurių reikia planuojamiems rezultatams pasiekti)</w:t>
                  </w:r>
                  <w:r w:rsidR="007E105C" w:rsidRPr="00B84A10">
                    <w:rPr>
                      <w:rFonts w:ascii="Times New Roman" w:hAnsi="Times New Roman"/>
                    </w:rPr>
                    <w:t>, susijusios su veiklomis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E105C" w:rsidRPr="0005331E" w:rsidRDefault="00526DFC" w:rsidP="007E105C">
                  <w:pPr>
                    <w:spacing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>Projektas pripažįstamas atitinkančiu vertinimo kriterijų,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jei išlaidos būtinos pasiekti tikslui, detalizuotos, pagrįstos dokumentais: komerciniais pasiūlymais ar kt. viešai prieinamais dokumentais.</w:t>
                  </w: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E105C" w:rsidRPr="0005331E" w:rsidRDefault="007E105C" w:rsidP="007E105C">
                  <w:pPr>
                    <w:spacing w:line="256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8C74C9" w:rsidRPr="0005331E" w:rsidTr="00351E97">
              <w:trPr>
                <w:trHeight w:val="276"/>
              </w:trPr>
              <w:tc>
                <w:tcPr>
                  <w:tcW w:w="95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4C9" w:rsidRDefault="008C74C9" w:rsidP="008C74C9">
                  <w:pPr>
                    <w:pStyle w:val="Sraopastraip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0"/>
                      <w:szCs w:val="16"/>
                    </w:rPr>
                  </w:pPr>
                  <w:r w:rsidRPr="0005331E">
                    <w:rPr>
                      <w:rFonts w:ascii="Times New Roman" w:hAnsi="Times New Roman"/>
                      <w:b/>
                      <w:color w:val="000000"/>
                      <w:sz w:val="20"/>
                      <w:szCs w:val="16"/>
                    </w:rPr>
                    <w:t>PRIORITETINIAI PROJEKTŲ ATRANKOS KRITERIJAI*:</w:t>
                  </w:r>
                </w:p>
                <w:p w:rsidR="008C74C9" w:rsidRPr="0005331E" w:rsidRDefault="008C74C9" w:rsidP="00351E97">
                  <w:pPr>
                    <w:pStyle w:val="Sraopastraipa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b/>
                      <w:color w:val="000000"/>
                      <w:sz w:val="20"/>
                      <w:szCs w:val="16"/>
                    </w:rPr>
                  </w:pPr>
                </w:p>
                <w:p w:rsidR="008C74C9" w:rsidRPr="0005331E" w:rsidRDefault="008C74C9" w:rsidP="00351E97">
                  <w:pPr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5331E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lastRenderedPageBreak/>
                    <w:t>*</w:t>
                  </w:r>
                  <w:r w:rsidRPr="0005331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05331E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Prioritetiniai projektų atrankos kriterijai yra skirti </w:t>
                  </w:r>
                  <w:r w:rsidRPr="0005331E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sudaryti vietos plėtros projektų, kurie atitinka visus bendruosius projektų atrankos kriterijus, prioritetinę eilę prioriteto mažėjimo tvarka. Minimaliai privaloma surinkti balų suma –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  <w:u w:val="single"/>
                    </w:rPr>
                    <w:t xml:space="preserve"> </w:t>
                  </w:r>
                  <w:r w:rsidRPr="0005331E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 balų. Projektų, kurie nesurinks 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 xml:space="preserve">_ </w:t>
                  </w:r>
                  <w:r w:rsidRPr="0005331E">
                    <w:rPr>
                      <w:rFonts w:ascii="Times New Roman" w:hAnsi="Times New Roman"/>
                      <w:i/>
                      <w:color w:val="000000"/>
                      <w:sz w:val="16"/>
                      <w:szCs w:val="16"/>
                    </w:rPr>
                    <w:t>balų, VVG netrauks nei į VVG siūlomų finansuoti vietos plėtros projektų sąrašą, nei į rezervinį vietos plėtros projektų sąrašą</w:t>
                  </w:r>
                </w:p>
              </w:tc>
            </w:tr>
            <w:tr w:rsidR="00B2168C" w:rsidRPr="0005331E" w:rsidTr="00B576A7">
              <w:trPr>
                <w:trHeight w:val="174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2168C" w:rsidRPr="007E105C" w:rsidRDefault="00B2168C" w:rsidP="00351E97">
                  <w:pPr>
                    <w:spacing w:line="256" w:lineRule="auto"/>
                    <w:jc w:val="both"/>
                    <w:rPr>
                      <w:rFonts w:ascii="Times New Roman" w:hAnsi="Times New Roman"/>
                      <w:b/>
                      <w:bCs/>
                      <w:lang w:eastAsia="lt-LT"/>
                    </w:rPr>
                  </w:pPr>
                  <w:bookmarkStart w:id="1" w:name="_Hlk532451354"/>
                  <w:r w:rsidRPr="000533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lt-LT"/>
                    </w:rPr>
                    <w:lastRenderedPageBreak/>
                    <w:t>2.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lt-LT"/>
                    </w:rPr>
                    <w:t>1</w:t>
                  </w:r>
                  <w:r w:rsidRPr="000533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lt-LT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lt-LT"/>
                    </w:rPr>
                    <w:t xml:space="preserve"> </w:t>
                  </w: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 xml:space="preserve">Numatytas didesnis nei 5 procentų prisidėjimas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2168C" w:rsidRPr="00526DFC" w:rsidRDefault="00B2168C" w:rsidP="00351E97">
                  <w:pPr>
                    <w:spacing w:line="256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526DFC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lt-LT"/>
                    </w:rPr>
                    <w:t>numatytas nuo 5,1 iki 10 procentų prisidėjimas skiriamas 1 balas</w:t>
                  </w:r>
                </w:p>
                <w:p w:rsidR="00B2168C" w:rsidRPr="00526DFC" w:rsidRDefault="00B2168C" w:rsidP="00351E97">
                  <w:pPr>
                    <w:spacing w:line="256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526DFC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lt-LT"/>
                    </w:rPr>
                    <w:t xml:space="preserve">numatytas nuo 10,1 iki 15 procentų prisidėjimas skiriami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lt-LT"/>
                    </w:rPr>
                    <w:t>5</w:t>
                  </w:r>
                  <w:r w:rsidRPr="00526DFC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lt-LT"/>
                    </w:rPr>
                    <w:t xml:space="preserve"> balai</w:t>
                  </w:r>
                </w:p>
                <w:p w:rsidR="00B2168C" w:rsidRPr="00526DFC" w:rsidRDefault="00B2168C" w:rsidP="00351E97">
                  <w:pPr>
                    <w:spacing w:line="256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lt-LT"/>
                    </w:rPr>
                    <w:t xml:space="preserve">numatytas didesnis nei 15,1 procentų prisidėjimas skiriami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lt-LT"/>
                    </w:rPr>
                    <w:t>10</w:t>
                  </w:r>
                  <w:r w:rsidRPr="00526DFC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eastAsia="lt-LT"/>
                    </w:rPr>
                    <w:t xml:space="preserve"> balai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2168C" w:rsidRPr="0005331E" w:rsidRDefault="00B2168C" w:rsidP="00351E97">
                  <w:pPr>
                    <w:spacing w:line="256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</w:rPr>
                    <w:t>10</w:t>
                  </w:r>
                </w:p>
              </w:tc>
            </w:tr>
            <w:bookmarkEnd w:id="1"/>
            <w:tr w:rsidR="007E105C" w:rsidRPr="0005331E" w:rsidTr="006904ED">
              <w:trPr>
                <w:trHeight w:val="693"/>
              </w:trPr>
              <w:tc>
                <w:tcPr>
                  <w:tcW w:w="95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7E105C" w:rsidP="00B84A10">
                  <w:pPr>
                    <w:spacing w:after="0" w:line="256" w:lineRule="auto"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 w:rsidRPr="00B84A10">
                    <w:rPr>
                      <w:rFonts w:ascii="Times New Roman" w:hAnsi="Times New Roman"/>
                      <w:b/>
                      <w:lang w:eastAsia="lt-LT"/>
                    </w:rPr>
                    <w:t xml:space="preserve">1.1.1. Veiksmas: </w:t>
                  </w:r>
                  <w:r w:rsidRPr="00B84A10">
                    <w:rPr>
                      <w:rFonts w:ascii="Times New Roman" w:hAnsi="Times New Roman"/>
                      <w:b/>
                      <w:bCs/>
                      <w:iCs/>
                      <w:color w:val="000000"/>
                    </w:rPr>
                    <w:t xml:space="preserve">Bendrųjų socialinių paslaugų (informavimo, tarpininkavimo, maitinimo, transporto, asmens higienos ir priežiūros, sociokultūrinių ir </w:t>
                  </w:r>
                  <w:proofErr w:type="spellStart"/>
                  <w:r w:rsidRPr="00B84A10">
                    <w:rPr>
                      <w:rFonts w:ascii="Times New Roman" w:hAnsi="Times New Roman"/>
                      <w:b/>
                      <w:bCs/>
                      <w:iCs/>
                      <w:color w:val="000000"/>
                    </w:rPr>
                    <w:t>savipagalbos</w:t>
                  </w:r>
                  <w:proofErr w:type="spellEnd"/>
                  <w:r w:rsidRPr="00B84A10">
                    <w:rPr>
                      <w:rFonts w:ascii="Times New Roman" w:hAnsi="Times New Roman"/>
                      <w:b/>
                      <w:bCs/>
                      <w:iCs/>
                      <w:color w:val="000000"/>
                    </w:rPr>
                    <w:t xml:space="preserve"> paslaugų organizavimą, psichologinės pagalbos bei pagalbos į namus organizavimą) socialinę atskirtį patiriantiems asmenims</w:t>
                  </w:r>
                </w:p>
              </w:tc>
            </w:tr>
            <w:tr w:rsidR="007E105C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B2168C" w:rsidP="00DD181D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>
                    <w:rPr>
                      <w:rFonts w:ascii="Times New Roman" w:hAnsi="Times New Roman"/>
                    </w:rPr>
                    <w:t xml:space="preserve">2.2. </w:t>
                  </w:r>
                  <w:r w:rsidR="007E105C" w:rsidRPr="00B84A10">
                    <w:rPr>
                      <w:rFonts w:ascii="Times New Roman" w:hAnsi="Times New Roman"/>
                    </w:rPr>
                    <w:t>Naudos gavėjų skaičius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Default="00526DFC" w:rsidP="00526DFC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Skaičiuojamas proporcingumo būdu pagal kvietimo metu gautus projektinius pasiūlymus.</w:t>
                  </w:r>
                  <w:r w:rsidR="00803B77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 xml:space="preserve"> Vertinama pagal formulę:</w:t>
                  </w:r>
                </w:p>
                <w:p w:rsidR="007E105C" w:rsidRPr="00526DFC" w:rsidRDefault="00BB1963" w:rsidP="00526DFC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eqArr>
                          <m:eqAr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Vertinamo projektinio pasiūlymo 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naudos gavėjų skaičius</m:t>
                            </m:r>
                          </m:e>
                        </m:eqArr>
                      </m:num>
                      <m:den>
                        <m:eqArr>
                          <m:eqAr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Didžiausias pagal veiksmą gautų projektinių 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pasiūlymų naudos gavėjų skaičius</m:t>
                            </m:r>
                          </m:e>
                        </m:eqAr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*15</m:t>
                    </m:r>
                  </m:oMath>
                  <w:r w:rsidR="00803B77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7E105C" w:rsidP="00B84A10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 w:rsidRPr="00B84A10">
                    <w:rPr>
                      <w:rFonts w:ascii="Times New Roman" w:hAnsi="Times New Roman"/>
                      <w:lang w:eastAsia="lt-LT"/>
                    </w:rPr>
                    <w:t>15</w:t>
                  </w:r>
                </w:p>
              </w:tc>
            </w:tr>
            <w:tr w:rsidR="007E105C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B2168C" w:rsidP="00DD181D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2.3. </w:t>
                  </w:r>
                  <w:r w:rsidR="007E105C" w:rsidRPr="00B84A10">
                    <w:rPr>
                      <w:rFonts w:ascii="Times New Roman" w:hAnsi="Times New Roman"/>
                    </w:rPr>
                    <w:t>Efektyvus turimų išteklių panaudojimas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803B77" w:rsidP="00526DFC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Suteikiama 15 balų, jei projektiniame pasiūlyme numatyta įtraukti turimus išteklius (ilgalaikį ir trumpalaikį turtą)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7E105C" w:rsidP="00B84A10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 w:rsidRPr="00B84A10">
                    <w:rPr>
                      <w:rFonts w:ascii="Times New Roman" w:hAnsi="Times New Roman"/>
                      <w:lang w:eastAsia="lt-LT"/>
                    </w:rPr>
                    <w:t>15</w:t>
                  </w:r>
                </w:p>
              </w:tc>
            </w:tr>
            <w:tr w:rsidR="007E105C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B2168C" w:rsidP="00DD181D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2.4. </w:t>
                  </w:r>
                  <w:r w:rsidR="007E105C" w:rsidRPr="00B84A10">
                    <w:rPr>
                      <w:rFonts w:ascii="Times New Roman" w:hAnsi="Times New Roman"/>
                    </w:rPr>
                    <w:t>Savanorių įtraukimas į veiklos vykdymą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Default="00526DFC" w:rsidP="00526DFC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Skaičiuojamas proporcingumo būdu pagal kvietimo metu gautus projektinius pasiūlymus</w:t>
                  </w:r>
                  <w:r w:rsidR="00803B77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. Vertinama pagal formulę:</w:t>
                  </w:r>
                </w:p>
                <w:p w:rsidR="00803B77" w:rsidRPr="00B84A10" w:rsidRDefault="00BB1963" w:rsidP="00526DFC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fPr>
                        <m:num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Vertinamo projektinio pasiūlymo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nurodytas savanorių skaičius</m:t>
                              </m:r>
                            </m:e>
                          </m:eqAr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Didžiausias pagal veiksmą gautų projektinių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pasiūlymų nurdytas savanorių skaičius</m:t>
                              </m:r>
                            </m:e>
                          </m:eqAr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*20</m:t>
                      </m:r>
                    </m:oMath>
                  </m:oMathPara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B84A10" w:rsidRDefault="007E105C" w:rsidP="00B84A10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 w:rsidRPr="00B84A10">
                    <w:rPr>
                      <w:rFonts w:ascii="Times New Roman" w:hAnsi="Times New Roman"/>
                      <w:lang w:eastAsia="lt-LT"/>
                    </w:rPr>
                    <w:t>20</w:t>
                  </w:r>
                </w:p>
              </w:tc>
            </w:tr>
            <w:tr w:rsidR="007E105C" w:rsidRPr="0005331E" w:rsidTr="00A00583">
              <w:trPr>
                <w:trHeight w:val="693"/>
              </w:trPr>
              <w:tc>
                <w:tcPr>
                  <w:tcW w:w="95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843AD5" w:rsidRDefault="007E105C" w:rsidP="00B84A10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1B70C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1.1.2. Veiksmas: Bendrųjų socialinių paslaugų teikimas skatinant pabėgėlių socialinę integraciją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Lazdijų</w:t>
                  </w:r>
                  <w:r w:rsidRPr="001B70C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 mieste</w:t>
                  </w:r>
                </w:p>
              </w:tc>
            </w:tr>
            <w:tr w:rsidR="00803B77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>
                    <w:rPr>
                      <w:rFonts w:ascii="Times New Roman" w:hAnsi="Times New Roman"/>
                    </w:rPr>
                    <w:t xml:space="preserve">2.2. </w:t>
                  </w:r>
                  <w:r w:rsidRPr="00B84A10">
                    <w:rPr>
                      <w:rFonts w:ascii="Times New Roman" w:hAnsi="Times New Roman"/>
                    </w:rPr>
                    <w:t>Naudos gavėjų skaičius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Default="00803B77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Skaičiuojamas proporcingumo būdu pagal kvietimo metu gautus projektinius pasiūlymus.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 xml:space="preserve"> Vertinama pagal formulę:</w:t>
                  </w:r>
                </w:p>
                <w:p w:rsidR="00803B77" w:rsidRPr="00526DFC" w:rsidRDefault="00BB1963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eqArr>
                          <m:eqAr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Vertinamo projektinio pasiūlymo 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naudos gavėjų skaičius</m:t>
                            </m:r>
                          </m:e>
                        </m:eqArr>
                      </m:num>
                      <m:den>
                        <m:eqArr>
                          <m:eqAr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Didžiausias pagal veiksmą gautų projektinių 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pasiūlymų naudos gavėjų skaičius</m:t>
                            </m:r>
                          </m:e>
                        </m:eqAr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*15</m:t>
                    </m:r>
                  </m:oMath>
                  <w:r w:rsidR="00803B77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843AD5" w:rsidRDefault="00803B77" w:rsidP="00803B77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15</w:t>
                  </w:r>
                </w:p>
              </w:tc>
            </w:tr>
            <w:tr w:rsidR="00803B77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2.3. </w:t>
                  </w:r>
                  <w:r w:rsidRPr="00B84A10">
                    <w:rPr>
                      <w:rFonts w:ascii="Times New Roman" w:hAnsi="Times New Roman"/>
                    </w:rPr>
                    <w:t>Efektyvus turimų išteklių panaudojimas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Suteikiama 15 balų, jei projektiniame pasiūlyme numatyta įtraukti turimus išteklius (ilgalaikį ir trumpalaikį turtą)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843AD5" w:rsidRDefault="00803B77" w:rsidP="00803B77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15</w:t>
                  </w:r>
                </w:p>
              </w:tc>
            </w:tr>
            <w:tr w:rsidR="00803B77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2.4. </w:t>
                  </w:r>
                  <w:r w:rsidRPr="00B84A10">
                    <w:rPr>
                      <w:rFonts w:ascii="Times New Roman" w:hAnsi="Times New Roman"/>
                    </w:rPr>
                    <w:t>Savanorių įtraukimas į veiklos vykdymą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Default="00803B77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Skaičiuojamas proporcingumo būdu pagal kvietimo metu gautus projektinius pasiūlymus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. Vertinama pagal formulę:</w:t>
                  </w:r>
                </w:p>
                <w:p w:rsidR="00803B77" w:rsidRPr="00B84A10" w:rsidRDefault="00BB1963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fPr>
                        <m:num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Vertinamo projektinio pasiūlymo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nurodytas savanorių skaičius</m:t>
                              </m:r>
                            </m:e>
                          </m:eqAr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Didžiausias pagal veiksmą gautų projektinių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pasiūlymų nurdytas savanorių skaičius</m:t>
                              </m:r>
                            </m:e>
                          </m:eqAr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*20</m:t>
                      </m:r>
                    </m:oMath>
                  </m:oMathPara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843AD5" w:rsidRDefault="00803B77" w:rsidP="00803B77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20</w:t>
                  </w:r>
                </w:p>
              </w:tc>
            </w:tr>
            <w:tr w:rsidR="007E105C" w:rsidRPr="0005331E" w:rsidTr="009C0778">
              <w:trPr>
                <w:trHeight w:val="693"/>
              </w:trPr>
              <w:tc>
                <w:tcPr>
                  <w:tcW w:w="95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843AD5" w:rsidRDefault="007E105C" w:rsidP="00B84A10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1B70C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2.1.1. Veiksmas: </w:t>
                  </w:r>
                  <w:r w:rsidRPr="00BB1E2D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Naujų profesinių, praktinių ir kitų reikalingų įgūdžių įgijimas ir ugdymas darbo vietoje, savanoriškos veiklos skatinimas, profesinis orientavimas ir motyvavimas imtis aktyvios veiklos</w:t>
                  </w:r>
                </w:p>
              </w:tc>
            </w:tr>
            <w:tr w:rsidR="00803B77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>
                    <w:rPr>
                      <w:rFonts w:ascii="Times New Roman" w:hAnsi="Times New Roman"/>
                    </w:rPr>
                    <w:t xml:space="preserve">2.2. </w:t>
                  </w:r>
                  <w:r w:rsidRPr="00B84A10">
                    <w:rPr>
                      <w:rFonts w:ascii="Times New Roman" w:hAnsi="Times New Roman"/>
                    </w:rPr>
                    <w:t>Naudos gavėjų skaičius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Default="00803B77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Skaičiuojamas proporcingumo būdu pagal kvietimo metu gautus projektinius pasiūlymus.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 xml:space="preserve"> Vertinama pagal formulę:</w:t>
                  </w:r>
                </w:p>
                <w:p w:rsidR="00803B77" w:rsidRPr="00526DFC" w:rsidRDefault="00BB1963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eqArr>
                          <m:eqAr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Vertinamo projektinio pasiūlymo 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naudos gavėjų skaičius</m:t>
                            </m:r>
                          </m:e>
                        </m:eqArr>
                      </m:num>
                      <m:den>
                        <m:eqArr>
                          <m:eqAr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Didžiausias pagal veiksmą gautų projektinių 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pasiūlymų naudos gavėjų skaičius</m:t>
                            </m:r>
                          </m:e>
                        </m:eqAr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*15</m:t>
                    </m:r>
                  </m:oMath>
                  <w:r w:rsidR="00803B77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843AD5" w:rsidRDefault="00803B77" w:rsidP="00803B77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lastRenderedPageBreak/>
                    <w:t>15</w:t>
                  </w:r>
                </w:p>
              </w:tc>
            </w:tr>
            <w:tr w:rsidR="00803B77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2.3. </w:t>
                  </w:r>
                  <w:r w:rsidRPr="00B84A10">
                    <w:rPr>
                      <w:rFonts w:ascii="Times New Roman" w:hAnsi="Times New Roman"/>
                    </w:rPr>
                    <w:t>Efektyvus turimų išteklių panaudojimas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Suteikiama 15 balų, jei projektiniame pasiūlyme numatyta įtraukti turimus išteklius (ilgalaikį ir trumpalaikį turtą)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843AD5" w:rsidRDefault="00803B77" w:rsidP="00803B77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15</w:t>
                  </w:r>
                </w:p>
              </w:tc>
            </w:tr>
            <w:tr w:rsidR="00803B77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2.4. </w:t>
                  </w:r>
                  <w:r w:rsidRPr="00B84A10">
                    <w:rPr>
                      <w:rFonts w:ascii="Times New Roman" w:hAnsi="Times New Roman"/>
                    </w:rPr>
                    <w:t>Savanorių įtraukimas į veiklos vykdymą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Default="00803B77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Skaičiuojamas proporcingumo būdu pagal kvietimo metu gautus projektinius pasiūlymus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. Vertinama pagal formulę:</w:t>
                  </w:r>
                </w:p>
                <w:p w:rsidR="00803B77" w:rsidRPr="00B84A10" w:rsidRDefault="00BB1963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fPr>
                        <m:num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Vertinamo projektinio pasiūlymo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nurodytas savanorių skaičius</m:t>
                              </m:r>
                            </m:e>
                          </m:eqAr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Didžiausias pagal veiksmą gautų projektinių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pasiūlymų nurdytas savanorių skaičius</m:t>
                              </m:r>
                            </m:e>
                          </m:eqAr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*20</m:t>
                      </m:r>
                    </m:oMath>
                  </m:oMathPara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843AD5" w:rsidRDefault="00803B77" w:rsidP="00803B77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20</w:t>
                  </w:r>
                </w:p>
              </w:tc>
            </w:tr>
            <w:tr w:rsidR="007E105C" w:rsidRPr="0005331E" w:rsidTr="005E3218">
              <w:trPr>
                <w:trHeight w:val="693"/>
              </w:trPr>
              <w:tc>
                <w:tcPr>
                  <w:tcW w:w="95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105C" w:rsidRPr="00843AD5" w:rsidRDefault="007E105C" w:rsidP="00B84A10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1B70C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2.2.1. Veiksmas: </w:t>
                  </w:r>
                  <w:r w:rsidRPr="00BB1E2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Gyventojų verslumui didinti skirtų neformalių iniciatyvų įgyvendinimas, siekiant pagerinti darbingų vietos veiklos grupės teritorijos gyventojų padėtį darbo rinkoje</w:t>
                  </w:r>
                </w:p>
              </w:tc>
            </w:tr>
            <w:tr w:rsidR="00803B77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  <w:lang w:eastAsia="lt-LT"/>
                    </w:rPr>
                  </w:pPr>
                  <w:r>
                    <w:rPr>
                      <w:rFonts w:ascii="Times New Roman" w:hAnsi="Times New Roman"/>
                    </w:rPr>
                    <w:t xml:space="preserve">2.2. </w:t>
                  </w:r>
                  <w:r w:rsidRPr="00B84A10">
                    <w:rPr>
                      <w:rFonts w:ascii="Times New Roman" w:hAnsi="Times New Roman"/>
                    </w:rPr>
                    <w:t>Naudos gavėjų skaičius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Default="00803B77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Skaičiuojamas proporcingumo būdu pagal kvietimo metu gautus projektinius pasiūlymus.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 xml:space="preserve"> Vertinama pagal formulę:</w:t>
                  </w:r>
                </w:p>
                <w:p w:rsidR="00803B77" w:rsidRPr="00526DFC" w:rsidRDefault="00BB1963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eqArr>
                          <m:eqAr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Vertinamo projektinio pasiūlymo 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naudos gavėjų skaičius</m:t>
                            </m:r>
                          </m:e>
                        </m:eqArr>
                      </m:num>
                      <m:den>
                        <m:eqArr>
                          <m:eqArr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Didžiausias pagal veiksmą gautų projektinių 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pasiūlymų naudos gavėjų skaičius</m:t>
                            </m:r>
                          </m:e>
                        </m:eqAr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*15</m:t>
                    </m:r>
                  </m:oMath>
                  <w:r w:rsidR="00803B77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843AD5" w:rsidRDefault="00803B77" w:rsidP="00803B77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15</w:t>
                  </w:r>
                </w:p>
              </w:tc>
            </w:tr>
            <w:tr w:rsidR="00803B77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2.3. </w:t>
                  </w:r>
                  <w:r w:rsidRPr="00B84A10">
                    <w:rPr>
                      <w:rFonts w:ascii="Times New Roman" w:hAnsi="Times New Roman"/>
                    </w:rPr>
                    <w:t>Efektyvus turimų išteklių panaudojimas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Suteikiama 15 balų, jei projektiniame pasiūlyme numatyta įtraukti turimus išteklius (ilgalaikį ir trumpalaikį turtą)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843AD5" w:rsidRDefault="00803B77" w:rsidP="00803B77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15</w:t>
                  </w:r>
                </w:p>
              </w:tc>
            </w:tr>
            <w:tr w:rsidR="00803B77" w:rsidRPr="0005331E" w:rsidTr="00351E97">
              <w:trPr>
                <w:trHeight w:val="693"/>
              </w:trPr>
              <w:tc>
                <w:tcPr>
                  <w:tcW w:w="3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B84A10" w:rsidRDefault="00803B77" w:rsidP="00803B77">
                  <w:pPr>
                    <w:suppressAutoHyphens/>
                    <w:spacing w:after="0"/>
                    <w:textAlignment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2.4. </w:t>
                  </w:r>
                  <w:r w:rsidRPr="00B84A10">
                    <w:rPr>
                      <w:rFonts w:ascii="Times New Roman" w:hAnsi="Times New Roman"/>
                    </w:rPr>
                    <w:t>Savanorių įtraukimas į veiklos vykdymą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Default="00803B77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526DFC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Skaičiuojamas proporcingumo būdu pagal kvietimo metu gautus projektinius pasiūlymus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. Vertinama pagal formulę:</w:t>
                  </w:r>
                </w:p>
                <w:p w:rsidR="00803B77" w:rsidRPr="00B84A10" w:rsidRDefault="00BB1963" w:rsidP="00803B77">
                  <w:pPr>
                    <w:spacing w:after="0" w:line="256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fPr>
                        <m:num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Vertinamo projektinio pasiūlymo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nurodytas savanorių skaičius</m:t>
                              </m:r>
                            </m:e>
                          </m:eqAr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 xml:space="preserve">Didžiausias pagal veiksmą gautų projektinių 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pasiūlymų nurdytas savanorių skaičius</m:t>
                              </m:r>
                            </m:e>
                          </m:eqArr>
                        </m:den>
                      </m:f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*20</m:t>
                      </m:r>
                    </m:oMath>
                  </m:oMathPara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3B77" w:rsidRPr="00843AD5" w:rsidRDefault="00803B77" w:rsidP="00803B77">
                  <w:pPr>
                    <w:suppressAutoHyphens/>
                    <w:spacing w:after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  <w:r w:rsidRPr="00843AD5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20</w:t>
                  </w:r>
                </w:p>
              </w:tc>
            </w:tr>
            <w:tr w:rsidR="007E105C" w:rsidRPr="0005331E" w:rsidTr="00351E97">
              <w:tc>
                <w:tcPr>
                  <w:tcW w:w="7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105C" w:rsidRPr="0005331E" w:rsidRDefault="007E105C" w:rsidP="007E105C">
                  <w:pPr>
                    <w:spacing w:line="256" w:lineRule="auto"/>
                    <w:jc w:val="right"/>
                    <w:rPr>
                      <w:rFonts w:ascii="Times New Roman" w:hAnsi="Times New Roman"/>
                      <w:b/>
                      <w:bCs/>
                      <w:caps/>
                      <w:sz w:val="20"/>
                      <w:szCs w:val="20"/>
                    </w:rPr>
                  </w:pPr>
                  <w:r w:rsidRPr="000533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Suma</w:t>
                  </w:r>
                  <w:r w:rsidRPr="0005331E">
                    <w:rPr>
                      <w:rFonts w:ascii="Times New Roman" w:hAnsi="Times New Roman"/>
                      <w:b/>
                      <w:bCs/>
                      <w:cap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105C" w:rsidRPr="0005331E" w:rsidRDefault="007E105C" w:rsidP="007E105C">
                  <w:pPr>
                    <w:spacing w:line="256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aps/>
                      <w:sz w:val="20"/>
                      <w:szCs w:val="20"/>
                    </w:rPr>
                    <w:t>60</w:t>
                  </w:r>
                </w:p>
              </w:tc>
            </w:tr>
            <w:tr w:rsidR="007E105C" w:rsidRPr="0005331E" w:rsidTr="00351E97">
              <w:tc>
                <w:tcPr>
                  <w:tcW w:w="75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105C" w:rsidRPr="0005331E" w:rsidRDefault="007E105C" w:rsidP="007E105C">
                  <w:pPr>
                    <w:spacing w:line="256" w:lineRule="auto"/>
                    <w:jc w:val="right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533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105C" w:rsidRPr="0005331E" w:rsidRDefault="007E105C" w:rsidP="007E105C">
                  <w:pPr>
                    <w:spacing w:line="256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aps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C74C9" w:rsidRDefault="008C74C9" w:rsidP="00351E97">
            <w:pPr>
              <w:spacing w:line="256" w:lineRule="auto"/>
              <w:ind w:firstLine="851"/>
              <w:jc w:val="center"/>
              <w:rPr>
                <w:caps/>
                <w:szCs w:val="24"/>
              </w:rPr>
            </w:pPr>
          </w:p>
        </w:tc>
      </w:tr>
    </w:tbl>
    <w:p w:rsidR="008C74C9" w:rsidRDefault="008C74C9"/>
    <w:sectPr w:rsidR="008C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C9"/>
    <w:rsid w:val="001D140E"/>
    <w:rsid w:val="00336E25"/>
    <w:rsid w:val="00447791"/>
    <w:rsid w:val="00526DFC"/>
    <w:rsid w:val="005E0CA1"/>
    <w:rsid w:val="007E105C"/>
    <w:rsid w:val="00803B77"/>
    <w:rsid w:val="008C74C9"/>
    <w:rsid w:val="00B2168C"/>
    <w:rsid w:val="00B576A7"/>
    <w:rsid w:val="00B84A10"/>
    <w:rsid w:val="00BB1963"/>
    <w:rsid w:val="00D4597D"/>
    <w:rsid w:val="00D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48BB"/>
  <w15:chartTrackingRefBased/>
  <w15:docId w15:val="{924C4891-DE76-44AB-A8D1-88859D7C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4780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LRSPT1</cp:lastModifiedBy>
  <cp:revision>11</cp:revision>
  <dcterms:created xsi:type="dcterms:W3CDTF">2019-06-10T08:24:00Z</dcterms:created>
  <dcterms:modified xsi:type="dcterms:W3CDTF">2019-10-14T13:06:00Z</dcterms:modified>
</cp:coreProperties>
</file>